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644E26B" w14:textId="680B2DAE" w:rsidR="00295785" w:rsidRPr="00141865" w:rsidRDefault="00530187" w:rsidP="0045520E">
      <w:pPr>
        <w:pStyle w:val="Heading1"/>
        <w:rPr>
          <w:highlight w:val="yellow"/>
        </w:rPr>
      </w:pPr>
      <w:r>
        <w:t>I</w:t>
      </w:r>
      <w:r w:rsidR="006C4E99" w:rsidRPr="0045520E">
        <w:t xml:space="preserve">mplementation of </w:t>
      </w:r>
      <w:r w:rsidR="006932ED">
        <w:t>Moss Review</w:t>
      </w:r>
      <w:r w:rsidR="006C4E99" w:rsidRPr="0045520E">
        <w:t xml:space="preserve"> </w:t>
      </w:r>
      <w:r w:rsidR="006C4E99" w:rsidRPr="003D48B6">
        <w:t>recommendations</w:t>
      </w:r>
    </w:p>
    <w:p w14:paraId="0BAEF179" w14:textId="68EFB5BF" w:rsidR="00295785" w:rsidRPr="0045520E" w:rsidRDefault="00AB225B" w:rsidP="0054359A">
      <w:pPr>
        <w:pStyle w:val="Date"/>
      </w:pPr>
      <w:r w:rsidRPr="0023040E">
        <w:t>Review report no. 20</w:t>
      </w:r>
      <w:r w:rsidR="00295785" w:rsidRPr="0023040E">
        <w:t>20/</w:t>
      </w:r>
      <w:r w:rsidR="00C560A7" w:rsidRPr="0023040E">
        <w:t>02</w:t>
      </w:r>
    </w:p>
    <w:p w14:paraId="51727730" w14:textId="67D737EE" w:rsidR="00295785" w:rsidRPr="00F10CAA" w:rsidRDefault="003A7108" w:rsidP="00295785">
      <w:pPr>
        <w:pStyle w:val="Picture"/>
        <w:rPr>
          <w:sz w:val="18"/>
          <w:szCs w:val="18"/>
        </w:rPr>
      </w:pPr>
      <w:r w:rsidRPr="003A7108">
        <w:rPr>
          <w:noProof/>
          <w:lang w:eastAsia="en-AU"/>
        </w:rPr>
        <w:drawing>
          <wp:inline distT="0" distB="0" distL="0" distR="0" wp14:anchorId="0C35AD2E" wp14:editId="0E466A90">
            <wp:extent cx="5758815" cy="43116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1" cy="4312126"/>
                    </a:xfrm>
                    <a:prstGeom prst="rect">
                      <a:avLst/>
                    </a:prstGeom>
                    <a:noFill/>
                    <a:ln>
                      <a:noFill/>
                    </a:ln>
                  </pic:spPr>
                </pic:pic>
              </a:graphicData>
            </a:graphic>
          </wp:inline>
        </w:drawing>
      </w:r>
      <w:r w:rsidR="00295785">
        <w:br w:type="page"/>
      </w:r>
      <w:r w:rsidR="00295785" w:rsidRPr="00F10CAA">
        <w:rPr>
          <w:sz w:val="18"/>
          <w:szCs w:val="18"/>
        </w:rPr>
        <w:lastRenderedPageBreak/>
        <w:t>© Commonwealth of Australia 2020</w:t>
      </w:r>
    </w:p>
    <w:p w14:paraId="2F534A2D" w14:textId="77777777" w:rsidR="00295785" w:rsidRPr="00F10CAA" w:rsidRDefault="00295785" w:rsidP="00295785">
      <w:pPr>
        <w:pStyle w:val="Normalsmall"/>
        <w:rPr>
          <w:rStyle w:val="Strong"/>
        </w:rPr>
      </w:pPr>
      <w:r w:rsidRPr="00F10CAA">
        <w:rPr>
          <w:rStyle w:val="Strong"/>
        </w:rPr>
        <w:t>Ownership of intellectual property rights</w:t>
      </w:r>
    </w:p>
    <w:p w14:paraId="29515CBE" w14:textId="77777777" w:rsidR="00295785" w:rsidRDefault="00295785" w:rsidP="00295785">
      <w:pPr>
        <w:pStyle w:val="Normalsmall"/>
      </w:pPr>
      <w:r w:rsidRPr="00F10CAA">
        <w:t>Unless otherwise noted, copyright (and any other intellectual property rights) in this publication is owned by the Commonwealth of Australia (referred</w:t>
      </w:r>
      <w:r>
        <w:t xml:space="preserve"> to as the Commonwealth).</w:t>
      </w:r>
    </w:p>
    <w:p w14:paraId="315FA7F0" w14:textId="77777777" w:rsidR="00295785" w:rsidRDefault="00295785" w:rsidP="00295785">
      <w:pPr>
        <w:pStyle w:val="Normalsmall"/>
        <w:rPr>
          <w:rStyle w:val="Strong"/>
        </w:rPr>
      </w:pPr>
      <w:r>
        <w:rPr>
          <w:rStyle w:val="Strong"/>
        </w:rPr>
        <w:t>Creative Commons licence</w:t>
      </w:r>
    </w:p>
    <w:p w14:paraId="3DBA5D88" w14:textId="77777777" w:rsidR="00295785" w:rsidRDefault="00295785" w:rsidP="00295785">
      <w:pPr>
        <w:pStyle w:val="Normalsmall"/>
      </w:pPr>
      <w:r>
        <w:t xml:space="preserve">All material in this publication is licensed under a </w:t>
      </w:r>
      <w:hyperlink r:id="rId9" w:history="1">
        <w:r w:rsidRPr="00306010">
          <w:rPr>
            <w:rStyle w:val="Hyperlink"/>
          </w:rPr>
          <w:t>Creative Commons Attribution 4.0 International Licence</w:t>
        </w:r>
      </w:hyperlink>
      <w:r>
        <w:t xml:space="preserve"> except content supplied by third parties, logos and the Commonwealth Coat of Arms.</w:t>
      </w:r>
    </w:p>
    <w:p w14:paraId="31A2FEDA" w14:textId="77777777" w:rsidR="00295785" w:rsidRDefault="00295785" w:rsidP="00295785">
      <w:pPr>
        <w:pStyle w:val="Normalsmall"/>
      </w:pPr>
      <w:r>
        <w:t xml:space="preserve">Inquiries about the licence and any use of this document should be emailed to </w:t>
      </w:r>
      <w:hyperlink r:id="rId10" w:history="1">
        <w:r w:rsidRPr="00306010">
          <w:rPr>
            <w:rStyle w:val="Hyperlink"/>
          </w:rPr>
          <w:t>copyright@awe.gov.au</w:t>
        </w:r>
      </w:hyperlink>
      <w:r>
        <w:t>.</w:t>
      </w:r>
    </w:p>
    <w:p w14:paraId="5517BFDE" w14:textId="77777777" w:rsidR="00295785" w:rsidRDefault="00295785" w:rsidP="00295785">
      <w:pPr>
        <w:pStyle w:val="Normalsmall"/>
      </w:pPr>
      <w:r>
        <w:rPr>
          <w:noProof/>
          <w:lang w:eastAsia="en-AU"/>
        </w:rPr>
        <w:drawing>
          <wp:inline distT="0" distB="0" distL="0" distR="0" wp14:anchorId="65C90F71" wp14:editId="673A21EE">
            <wp:extent cx="724535" cy="255270"/>
            <wp:effectExtent l="1905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B289D37" w14:textId="77777777" w:rsidR="00295785" w:rsidRDefault="00295785" w:rsidP="00295785">
      <w:pPr>
        <w:pStyle w:val="Normalsmall"/>
        <w:rPr>
          <w:rStyle w:val="Strong"/>
        </w:rPr>
      </w:pPr>
      <w:r>
        <w:rPr>
          <w:rStyle w:val="Strong"/>
        </w:rPr>
        <w:t>Cataloguing data</w:t>
      </w:r>
    </w:p>
    <w:p w14:paraId="3023FA3C" w14:textId="524A97B1" w:rsidR="00295785" w:rsidRDefault="00295785" w:rsidP="00295785">
      <w:pPr>
        <w:pStyle w:val="Normalsmall"/>
      </w:pPr>
      <w:r>
        <w:t>This publication (and any material sourced from it) should be attributed as: I</w:t>
      </w:r>
      <w:r w:rsidRPr="00F4249A">
        <w:t xml:space="preserve">nspector-General </w:t>
      </w:r>
      <w:r>
        <w:t xml:space="preserve">of </w:t>
      </w:r>
      <w:r w:rsidRPr="00F4249A">
        <w:t>Live Animal Exports 20</w:t>
      </w:r>
      <w:r>
        <w:t>20</w:t>
      </w:r>
      <w:r w:rsidRPr="00F4249A">
        <w:t>,</w:t>
      </w:r>
      <w:r w:rsidR="001E2DD9" w:rsidRPr="001E2DD9">
        <w:t xml:space="preserve"> </w:t>
      </w:r>
      <w:r w:rsidR="001E2DD9" w:rsidRPr="001E2DD9">
        <w:rPr>
          <w:rStyle w:val="Emphasis"/>
        </w:rPr>
        <w:t xml:space="preserve">Implementation of </w:t>
      </w:r>
      <w:r w:rsidR="006932ED">
        <w:rPr>
          <w:rStyle w:val="Emphasis"/>
        </w:rPr>
        <w:t>Moss Review</w:t>
      </w:r>
      <w:r w:rsidR="001E2DD9" w:rsidRPr="001E2DD9">
        <w:rPr>
          <w:rStyle w:val="Emphasis"/>
        </w:rPr>
        <w:t xml:space="preserve"> recommendations</w:t>
      </w:r>
      <w:r>
        <w:t>, Department of Agriculture, Water and the Environment, Canberra</w:t>
      </w:r>
      <w:r w:rsidR="00B7620F" w:rsidRPr="00B01211">
        <w:t>.</w:t>
      </w:r>
      <w:r w:rsidR="003D48B6">
        <w:t xml:space="preserve"> CC BY 4.0.</w:t>
      </w:r>
    </w:p>
    <w:p w14:paraId="6F438C90" w14:textId="68044400" w:rsidR="00295785" w:rsidRPr="004342A9" w:rsidRDefault="00295785" w:rsidP="00295785">
      <w:pPr>
        <w:pStyle w:val="Normalsmall"/>
      </w:pPr>
      <w:r w:rsidRPr="004342A9">
        <w:t xml:space="preserve">ISBN </w:t>
      </w:r>
      <w:r w:rsidR="00AF2CC4" w:rsidRPr="00AF2CC4">
        <w:t>978</w:t>
      </w:r>
      <w:r w:rsidRPr="00AF2CC4">
        <w:t>-</w:t>
      </w:r>
      <w:r w:rsidR="00AF2CC4" w:rsidRPr="00AF2CC4">
        <w:t>1</w:t>
      </w:r>
      <w:r w:rsidRPr="00AF2CC4">
        <w:t>-</w:t>
      </w:r>
      <w:r w:rsidR="00AF2CC4" w:rsidRPr="00AF2CC4">
        <w:t>76003</w:t>
      </w:r>
      <w:r w:rsidRPr="00AF2CC4">
        <w:t>-</w:t>
      </w:r>
      <w:r w:rsidR="00AF2CC4" w:rsidRPr="00AF2CC4">
        <w:t>329</w:t>
      </w:r>
      <w:r w:rsidRPr="00AF2CC4">
        <w:t>-</w:t>
      </w:r>
      <w:r w:rsidR="00AF2CC4" w:rsidRPr="00AF2CC4">
        <w:t>3</w:t>
      </w:r>
    </w:p>
    <w:p w14:paraId="0D745612" w14:textId="77777777" w:rsidR="00295785" w:rsidRDefault="00295785" w:rsidP="00295785">
      <w:pPr>
        <w:pStyle w:val="Normalsmall"/>
      </w:pPr>
      <w:r>
        <w:t>This publication is available at</w:t>
      </w:r>
      <w:r w:rsidRPr="00186642">
        <w:t xml:space="preserve"> </w:t>
      </w:r>
      <w:hyperlink r:id="rId12" w:history="1">
        <w:r>
          <w:rPr>
            <w:rStyle w:val="Hyperlink"/>
          </w:rPr>
          <w:t>iglae.gov.au/current-reviews</w:t>
        </w:r>
      </w:hyperlink>
      <w:r>
        <w:t>.</w:t>
      </w:r>
    </w:p>
    <w:p w14:paraId="4316976D" w14:textId="77777777" w:rsidR="00295785" w:rsidRDefault="00295785" w:rsidP="00295785">
      <w:pPr>
        <w:pStyle w:val="Normalsmall"/>
        <w:spacing w:after="0"/>
        <w:rPr>
          <w:lang w:val="en"/>
        </w:rPr>
      </w:pPr>
      <w:r>
        <w:rPr>
          <w:lang w:val="en"/>
        </w:rPr>
        <w:t>Inspector-General of Live Animal Exports</w:t>
      </w:r>
    </w:p>
    <w:p w14:paraId="54BC14DA" w14:textId="77777777" w:rsidR="00295785" w:rsidRDefault="00295785" w:rsidP="00295785">
      <w:pPr>
        <w:pStyle w:val="Normalsmall"/>
        <w:spacing w:after="0"/>
      </w:pPr>
      <w:r>
        <w:rPr>
          <w:lang w:val="en"/>
        </w:rPr>
        <w:t xml:space="preserve">c/- </w:t>
      </w:r>
      <w:r>
        <w:t xml:space="preserve">Department of Agriculture, </w:t>
      </w:r>
      <w:proofErr w:type="gramStart"/>
      <w:r>
        <w:t>Water</w:t>
      </w:r>
      <w:proofErr w:type="gramEnd"/>
      <w:r>
        <w:t xml:space="preserve"> and the Environment</w:t>
      </w:r>
    </w:p>
    <w:p w14:paraId="4E78CA62" w14:textId="77777777" w:rsidR="00295785" w:rsidRDefault="00295785" w:rsidP="00295785">
      <w:pPr>
        <w:pStyle w:val="Normalsmall"/>
        <w:spacing w:after="0"/>
      </w:pPr>
      <w:r>
        <w:t>GPO Box 858 Canberra ACT 2601</w:t>
      </w:r>
    </w:p>
    <w:p w14:paraId="0AF8ED9E" w14:textId="77777777" w:rsidR="00295785" w:rsidRDefault="00295785" w:rsidP="00295785">
      <w:pPr>
        <w:pStyle w:val="Normalsmall"/>
        <w:spacing w:after="0"/>
      </w:pPr>
      <w:r>
        <w:t>Telephone 1800 900 090</w:t>
      </w:r>
    </w:p>
    <w:p w14:paraId="0AC07BFA" w14:textId="77777777" w:rsidR="00295785" w:rsidRDefault="00295785" w:rsidP="00295785">
      <w:pPr>
        <w:pStyle w:val="Normalsmall"/>
        <w:spacing w:after="0"/>
      </w:pPr>
      <w:r>
        <w:t xml:space="preserve">Email </w:t>
      </w:r>
      <w:hyperlink r:id="rId13" w:history="1">
        <w:r>
          <w:rPr>
            <w:rStyle w:val="Hyperlink"/>
          </w:rPr>
          <w:t>iglae@awe.gov.au</w:t>
        </w:r>
      </w:hyperlink>
    </w:p>
    <w:p w14:paraId="1560D46E" w14:textId="77777777" w:rsidR="00295785" w:rsidRDefault="00295785" w:rsidP="00295785">
      <w:pPr>
        <w:pStyle w:val="Normalsmall"/>
      </w:pPr>
      <w:r>
        <w:t xml:space="preserve">Web </w:t>
      </w:r>
      <w:hyperlink r:id="rId14" w:history="1">
        <w:r w:rsidRPr="00C40B38">
          <w:rPr>
            <w:rStyle w:val="Hyperlink"/>
          </w:rPr>
          <w:t>iglae.gov.au</w:t>
        </w:r>
      </w:hyperlink>
    </w:p>
    <w:p w14:paraId="3EC232B0" w14:textId="135A14B7" w:rsidR="00295785" w:rsidRDefault="00295785" w:rsidP="00295785">
      <w:pPr>
        <w:pStyle w:val="Normalsmall"/>
      </w:pPr>
      <w:r>
        <w:t xml:space="preserve">The Australian Government acting through the </w:t>
      </w:r>
      <w:r w:rsidR="0039214A">
        <w:t>Inspector-General of Live Animal Exports,</w:t>
      </w:r>
      <w:r>
        <w:t xml:space="preserve"> has exercised due care and skill in preparing and compiling the information and data in this publication. Notwithstanding, the </w:t>
      </w:r>
      <w:r w:rsidR="0039214A">
        <w:t>Inspector-General of Live Animal Exports</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B1F62A7" w14:textId="77777777" w:rsidR="00295785" w:rsidRPr="00595916" w:rsidRDefault="00295785" w:rsidP="00295785">
      <w:pPr>
        <w:pStyle w:val="Normalsmall"/>
        <w:rPr>
          <w:rStyle w:val="Strong"/>
        </w:rPr>
      </w:pPr>
      <w:r w:rsidRPr="00595916">
        <w:rPr>
          <w:rStyle w:val="Strong"/>
        </w:rPr>
        <w:t>Credits</w:t>
      </w:r>
    </w:p>
    <w:p w14:paraId="3E187CE8" w14:textId="01D97771" w:rsidR="00295785" w:rsidRDefault="00295785" w:rsidP="00295785">
      <w:pPr>
        <w:pStyle w:val="Normalsmall"/>
      </w:pPr>
      <w:r w:rsidRPr="00291688">
        <w:t xml:space="preserve">The source of data for </w:t>
      </w:r>
      <w:r w:rsidR="0039214A">
        <w:t>any</w:t>
      </w:r>
      <w:r w:rsidR="0039214A" w:rsidRPr="00291688">
        <w:t xml:space="preserve"> </w:t>
      </w:r>
      <w:r w:rsidRPr="00291688">
        <w:t>figures and tables is the Department of Agriculture</w:t>
      </w:r>
      <w:r>
        <w:t>, Water and the Environment</w:t>
      </w:r>
      <w:r w:rsidRPr="00291688">
        <w:t xml:space="preserve"> unless otherwise noted.</w:t>
      </w:r>
    </w:p>
    <w:p w14:paraId="4C7C9AC2" w14:textId="77777777" w:rsidR="00295785" w:rsidRPr="00DF48AF" w:rsidRDefault="00295785" w:rsidP="00295785">
      <w:pPr>
        <w:pStyle w:val="Normalsmall"/>
        <w:rPr>
          <w:rStyle w:val="Strong"/>
        </w:rPr>
      </w:pPr>
      <w:r w:rsidRPr="00DF48AF">
        <w:rPr>
          <w:rStyle w:val="Strong"/>
        </w:rPr>
        <w:t>Review team and acknowledgements</w:t>
      </w:r>
    </w:p>
    <w:p w14:paraId="6349F372" w14:textId="7F381C8B" w:rsidR="00295785" w:rsidRPr="00DF48AF" w:rsidRDefault="00295785" w:rsidP="00295785">
      <w:pPr>
        <w:pStyle w:val="Normalsmall"/>
      </w:pPr>
      <w:r>
        <w:t>M</w:t>
      </w:r>
      <w:r w:rsidR="00492ABE">
        <w:t>r Glenn McMellon</w:t>
      </w:r>
      <w:r w:rsidRPr="00DF48AF">
        <w:t xml:space="preserve"> and </w:t>
      </w:r>
      <w:r>
        <w:t xml:space="preserve">Dr </w:t>
      </w:r>
      <w:r w:rsidRPr="00DF48AF">
        <w:t xml:space="preserve">Hyo Ryung Lee assisted the </w:t>
      </w:r>
      <w:r w:rsidR="00826110">
        <w:rPr>
          <w:lang w:val="en"/>
        </w:rPr>
        <w:t>Inspector-General of Live Animal Exports</w:t>
      </w:r>
      <w:r w:rsidRPr="00DF48AF">
        <w:t xml:space="preserve"> in this review.</w:t>
      </w:r>
    </w:p>
    <w:p w14:paraId="270D36A1" w14:textId="12645C6B" w:rsidR="00295785" w:rsidRDefault="00295785" w:rsidP="00295785">
      <w:pPr>
        <w:pStyle w:val="Normalsmall"/>
      </w:pPr>
      <w:r w:rsidRPr="00DF48AF">
        <w:t xml:space="preserve">The </w:t>
      </w:r>
      <w:proofErr w:type="spellStart"/>
      <w:r w:rsidR="00DF085E">
        <w:t>i</w:t>
      </w:r>
      <w:r w:rsidR="00F01015">
        <w:rPr>
          <w:lang w:val="en"/>
        </w:rPr>
        <w:t>nspector</w:t>
      </w:r>
      <w:proofErr w:type="spellEnd"/>
      <w:r w:rsidR="00F01015">
        <w:rPr>
          <w:lang w:val="en"/>
        </w:rPr>
        <w:t>-</w:t>
      </w:r>
      <w:r w:rsidR="00DF085E">
        <w:rPr>
          <w:lang w:val="en"/>
        </w:rPr>
        <w:t>g</w:t>
      </w:r>
      <w:r w:rsidR="00F01015">
        <w:rPr>
          <w:lang w:val="en"/>
        </w:rPr>
        <w:t>eneral</w:t>
      </w:r>
      <w:r w:rsidRPr="00DF48AF">
        <w:t xml:space="preserve"> </w:t>
      </w:r>
      <w:r>
        <w:t xml:space="preserve">gratefully acknowledges the cooperation and advice of the Australian Government Department of Agriculture, Water and the Environment and those </w:t>
      </w:r>
      <w:r w:rsidR="003D48B6">
        <w:t>who</w:t>
      </w:r>
      <w:r>
        <w:t xml:space="preserve"> provided submissions and input into this review.</w:t>
      </w:r>
      <w:r>
        <w:br w:type="page"/>
      </w:r>
    </w:p>
    <w:sdt>
      <w:sdtPr>
        <w:rPr>
          <w:rFonts w:ascii="Cambria" w:eastAsiaTheme="minorHAnsi" w:hAnsi="Cambria"/>
          <w:b/>
          <w:bCs w:val="0"/>
          <w:noProof/>
          <w:color w:val="auto"/>
          <w:sz w:val="22"/>
          <w:szCs w:val="22"/>
          <w:lang w:eastAsia="en-US"/>
        </w:rPr>
        <w:id w:val="-760297017"/>
        <w:docPartObj>
          <w:docPartGallery w:val="Table of Contents"/>
          <w:docPartUnique/>
        </w:docPartObj>
      </w:sdtPr>
      <w:sdtEndPr/>
      <w:sdtContent>
        <w:p w14:paraId="40F58CA4" w14:textId="77777777" w:rsidR="00295785" w:rsidRDefault="00295785" w:rsidP="00295785">
          <w:pPr>
            <w:pStyle w:val="TOCHeading"/>
            <w:tabs>
              <w:tab w:val="center" w:pos="4535"/>
            </w:tabs>
          </w:pPr>
          <w:r>
            <w:t>Contents</w:t>
          </w:r>
        </w:p>
        <w:p w14:paraId="544AAA9E" w14:textId="77777777" w:rsidR="008C33B7" w:rsidRDefault="0029578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58774274" w:history="1">
            <w:r w:rsidR="008C33B7" w:rsidRPr="00102777">
              <w:rPr>
                <w:rStyle w:val="Hyperlink"/>
              </w:rPr>
              <w:t>Review process</w:t>
            </w:r>
            <w:r w:rsidR="008C33B7">
              <w:rPr>
                <w:webHidden/>
              </w:rPr>
              <w:tab/>
            </w:r>
            <w:r w:rsidR="008C33B7">
              <w:rPr>
                <w:webHidden/>
              </w:rPr>
              <w:fldChar w:fldCharType="begin"/>
            </w:r>
            <w:r w:rsidR="008C33B7">
              <w:rPr>
                <w:webHidden/>
              </w:rPr>
              <w:instrText xml:space="preserve"> PAGEREF _Toc58774274 \h </w:instrText>
            </w:r>
            <w:r w:rsidR="008C33B7">
              <w:rPr>
                <w:webHidden/>
              </w:rPr>
            </w:r>
            <w:r w:rsidR="008C33B7">
              <w:rPr>
                <w:webHidden/>
              </w:rPr>
              <w:fldChar w:fldCharType="separate"/>
            </w:r>
            <w:r w:rsidR="00FE420F">
              <w:rPr>
                <w:webHidden/>
              </w:rPr>
              <w:t>iv</w:t>
            </w:r>
            <w:r w:rsidR="008C33B7">
              <w:rPr>
                <w:webHidden/>
              </w:rPr>
              <w:fldChar w:fldCharType="end"/>
            </w:r>
          </w:hyperlink>
        </w:p>
        <w:p w14:paraId="4F8062DD" w14:textId="77777777" w:rsidR="008C33B7" w:rsidRDefault="00526C19">
          <w:pPr>
            <w:pStyle w:val="TOC2"/>
            <w:rPr>
              <w:rFonts w:asciiTheme="minorHAnsi" w:eastAsiaTheme="minorEastAsia" w:hAnsiTheme="minorHAnsi"/>
              <w:lang w:eastAsia="en-AU"/>
            </w:rPr>
          </w:pPr>
          <w:hyperlink w:anchor="_Toc58774275" w:history="1">
            <w:r w:rsidR="008C33B7" w:rsidRPr="00102777">
              <w:rPr>
                <w:rStyle w:val="Hyperlink"/>
              </w:rPr>
              <w:t>Objectives</w:t>
            </w:r>
            <w:r w:rsidR="008C33B7">
              <w:rPr>
                <w:webHidden/>
              </w:rPr>
              <w:tab/>
            </w:r>
            <w:r w:rsidR="008C33B7">
              <w:rPr>
                <w:webHidden/>
              </w:rPr>
              <w:fldChar w:fldCharType="begin"/>
            </w:r>
            <w:r w:rsidR="008C33B7">
              <w:rPr>
                <w:webHidden/>
              </w:rPr>
              <w:instrText xml:space="preserve"> PAGEREF _Toc58774275 \h </w:instrText>
            </w:r>
            <w:r w:rsidR="008C33B7">
              <w:rPr>
                <w:webHidden/>
              </w:rPr>
            </w:r>
            <w:r w:rsidR="008C33B7">
              <w:rPr>
                <w:webHidden/>
              </w:rPr>
              <w:fldChar w:fldCharType="separate"/>
            </w:r>
            <w:r w:rsidR="00FE420F">
              <w:rPr>
                <w:webHidden/>
              </w:rPr>
              <w:t>iv</w:t>
            </w:r>
            <w:r w:rsidR="008C33B7">
              <w:rPr>
                <w:webHidden/>
              </w:rPr>
              <w:fldChar w:fldCharType="end"/>
            </w:r>
          </w:hyperlink>
        </w:p>
        <w:p w14:paraId="0B5D8E9B" w14:textId="77777777" w:rsidR="008C33B7" w:rsidRDefault="00526C19">
          <w:pPr>
            <w:pStyle w:val="TOC2"/>
            <w:rPr>
              <w:rFonts w:asciiTheme="minorHAnsi" w:eastAsiaTheme="minorEastAsia" w:hAnsiTheme="minorHAnsi"/>
              <w:lang w:eastAsia="en-AU"/>
            </w:rPr>
          </w:pPr>
          <w:hyperlink w:anchor="_Toc58774276" w:history="1">
            <w:r w:rsidR="008C33B7" w:rsidRPr="00102777">
              <w:rPr>
                <w:rStyle w:val="Hyperlink"/>
              </w:rPr>
              <w:t>Scope</w:t>
            </w:r>
            <w:r w:rsidR="008C33B7">
              <w:rPr>
                <w:webHidden/>
              </w:rPr>
              <w:tab/>
            </w:r>
            <w:r w:rsidR="008C33B7">
              <w:rPr>
                <w:webHidden/>
              </w:rPr>
              <w:fldChar w:fldCharType="begin"/>
            </w:r>
            <w:r w:rsidR="008C33B7">
              <w:rPr>
                <w:webHidden/>
              </w:rPr>
              <w:instrText xml:space="preserve"> PAGEREF _Toc58774276 \h </w:instrText>
            </w:r>
            <w:r w:rsidR="008C33B7">
              <w:rPr>
                <w:webHidden/>
              </w:rPr>
            </w:r>
            <w:r w:rsidR="008C33B7">
              <w:rPr>
                <w:webHidden/>
              </w:rPr>
              <w:fldChar w:fldCharType="separate"/>
            </w:r>
            <w:r w:rsidR="00FE420F">
              <w:rPr>
                <w:webHidden/>
              </w:rPr>
              <w:t>iv</w:t>
            </w:r>
            <w:r w:rsidR="008C33B7">
              <w:rPr>
                <w:webHidden/>
              </w:rPr>
              <w:fldChar w:fldCharType="end"/>
            </w:r>
          </w:hyperlink>
        </w:p>
        <w:p w14:paraId="1F348D61" w14:textId="77777777" w:rsidR="008C33B7" w:rsidRDefault="00526C19">
          <w:pPr>
            <w:pStyle w:val="TOC2"/>
            <w:rPr>
              <w:rFonts w:asciiTheme="minorHAnsi" w:eastAsiaTheme="minorEastAsia" w:hAnsiTheme="minorHAnsi"/>
              <w:lang w:eastAsia="en-AU"/>
            </w:rPr>
          </w:pPr>
          <w:hyperlink w:anchor="_Toc58774277" w:history="1">
            <w:r w:rsidR="008C33B7" w:rsidRPr="00102777">
              <w:rPr>
                <w:rStyle w:val="Hyperlink"/>
              </w:rPr>
              <w:t>Out of scope</w:t>
            </w:r>
            <w:r w:rsidR="008C33B7">
              <w:rPr>
                <w:webHidden/>
              </w:rPr>
              <w:tab/>
            </w:r>
            <w:r w:rsidR="008C33B7">
              <w:rPr>
                <w:webHidden/>
              </w:rPr>
              <w:fldChar w:fldCharType="begin"/>
            </w:r>
            <w:r w:rsidR="008C33B7">
              <w:rPr>
                <w:webHidden/>
              </w:rPr>
              <w:instrText xml:space="preserve"> PAGEREF _Toc58774277 \h </w:instrText>
            </w:r>
            <w:r w:rsidR="008C33B7">
              <w:rPr>
                <w:webHidden/>
              </w:rPr>
            </w:r>
            <w:r w:rsidR="008C33B7">
              <w:rPr>
                <w:webHidden/>
              </w:rPr>
              <w:fldChar w:fldCharType="separate"/>
            </w:r>
            <w:r w:rsidR="00FE420F">
              <w:rPr>
                <w:webHidden/>
              </w:rPr>
              <w:t>iv</w:t>
            </w:r>
            <w:r w:rsidR="008C33B7">
              <w:rPr>
                <w:webHidden/>
              </w:rPr>
              <w:fldChar w:fldCharType="end"/>
            </w:r>
          </w:hyperlink>
        </w:p>
        <w:p w14:paraId="3E207723" w14:textId="77777777" w:rsidR="008C33B7" w:rsidRDefault="00526C19">
          <w:pPr>
            <w:pStyle w:val="TOC2"/>
            <w:rPr>
              <w:rFonts w:asciiTheme="minorHAnsi" w:eastAsiaTheme="minorEastAsia" w:hAnsiTheme="minorHAnsi"/>
              <w:lang w:eastAsia="en-AU"/>
            </w:rPr>
          </w:pPr>
          <w:hyperlink w:anchor="_Toc58774278" w:history="1">
            <w:r w:rsidR="008C33B7" w:rsidRPr="00102777">
              <w:rPr>
                <w:rStyle w:val="Hyperlink"/>
              </w:rPr>
              <w:t>Methodology</w:t>
            </w:r>
            <w:r w:rsidR="008C33B7">
              <w:rPr>
                <w:webHidden/>
              </w:rPr>
              <w:tab/>
            </w:r>
            <w:r w:rsidR="008C33B7">
              <w:rPr>
                <w:webHidden/>
              </w:rPr>
              <w:fldChar w:fldCharType="begin"/>
            </w:r>
            <w:r w:rsidR="008C33B7">
              <w:rPr>
                <w:webHidden/>
              </w:rPr>
              <w:instrText xml:space="preserve"> PAGEREF _Toc58774278 \h </w:instrText>
            </w:r>
            <w:r w:rsidR="008C33B7">
              <w:rPr>
                <w:webHidden/>
              </w:rPr>
            </w:r>
            <w:r w:rsidR="008C33B7">
              <w:rPr>
                <w:webHidden/>
              </w:rPr>
              <w:fldChar w:fldCharType="separate"/>
            </w:r>
            <w:r w:rsidR="00FE420F">
              <w:rPr>
                <w:webHidden/>
              </w:rPr>
              <w:t>v</w:t>
            </w:r>
            <w:r w:rsidR="008C33B7">
              <w:rPr>
                <w:webHidden/>
              </w:rPr>
              <w:fldChar w:fldCharType="end"/>
            </w:r>
          </w:hyperlink>
        </w:p>
        <w:p w14:paraId="7E875CB1" w14:textId="77777777" w:rsidR="008C33B7" w:rsidRDefault="00526C19">
          <w:pPr>
            <w:pStyle w:val="TOC1"/>
            <w:rPr>
              <w:rFonts w:asciiTheme="minorHAnsi" w:eastAsiaTheme="minorEastAsia" w:hAnsiTheme="minorHAnsi"/>
              <w:b w:val="0"/>
              <w:lang w:eastAsia="en-AU"/>
            </w:rPr>
          </w:pPr>
          <w:hyperlink w:anchor="_Toc58774279" w:history="1">
            <w:r w:rsidR="008C33B7" w:rsidRPr="00102777">
              <w:rPr>
                <w:rStyle w:val="Hyperlink"/>
              </w:rPr>
              <w:t>Summary</w:t>
            </w:r>
            <w:r w:rsidR="008C33B7">
              <w:rPr>
                <w:webHidden/>
              </w:rPr>
              <w:tab/>
            </w:r>
            <w:r w:rsidR="008C33B7">
              <w:rPr>
                <w:webHidden/>
              </w:rPr>
              <w:fldChar w:fldCharType="begin"/>
            </w:r>
            <w:r w:rsidR="008C33B7">
              <w:rPr>
                <w:webHidden/>
              </w:rPr>
              <w:instrText xml:space="preserve"> PAGEREF _Toc58774279 \h </w:instrText>
            </w:r>
            <w:r w:rsidR="008C33B7">
              <w:rPr>
                <w:webHidden/>
              </w:rPr>
            </w:r>
            <w:r w:rsidR="008C33B7">
              <w:rPr>
                <w:webHidden/>
              </w:rPr>
              <w:fldChar w:fldCharType="separate"/>
            </w:r>
            <w:r w:rsidR="00FE420F">
              <w:rPr>
                <w:webHidden/>
              </w:rPr>
              <w:t>vi</w:t>
            </w:r>
            <w:r w:rsidR="008C33B7">
              <w:rPr>
                <w:webHidden/>
              </w:rPr>
              <w:fldChar w:fldCharType="end"/>
            </w:r>
          </w:hyperlink>
        </w:p>
        <w:p w14:paraId="29FBF07B" w14:textId="77777777" w:rsidR="008C33B7" w:rsidRDefault="00526C19">
          <w:pPr>
            <w:pStyle w:val="TOC2"/>
            <w:rPr>
              <w:rFonts w:asciiTheme="minorHAnsi" w:eastAsiaTheme="minorEastAsia" w:hAnsiTheme="minorHAnsi"/>
              <w:lang w:eastAsia="en-AU"/>
            </w:rPr>
          </w:pPr>
          <w:hyperlink w:anchor="_Toc58774280" w:history="1">
            <w:r w:rsidR="008C33B7" w:rsidRPr="00102777">
              <w:rPr>
                <w:rStyle w:val="Hyperlink"/>
              </w:rPr>
              <w:t>Inspector-general recommendations</w:t>
            </w:r>
            <w:r w:rsidR="008C33B7">
              <w:rPr>
                <w:webHidden/>
              </w:rPr>
              <w:tab/>
            </w:r>
            <w:r w:rsidR="008C33B7">
              <w:rPr>
                <w:webHidden/>
              </w:rPr>
              <w:fldChar w:fldCharType="begin"/>
            </w:r>
            <w:r w:rsidR="008C33B7">
              <w:rPr>
                <w:webHidden/>
              </w:rPr>
              <w:instrText xml:space="preserve"> PAGEREF _Toc58774280 \h </w:instrText>
            </w:r>
            <w:r w:rsidR="008C33B7">
              <w:rPr>
                <w:webHidden/>
              </w:rPr>
            </w:r>
            <w:r w:rsidR="008C33B7">
              <w:rPr>
                <w:webHidden/>
              </w:rPr>
              <w:fldChar w:fldCharType="separate"/>
            </w:r>
            <w:r w:rsidR="00FE420F">
              <w:rPr>
                <w:webHidden/>
              </w:rPr>
              <w:t>vii</w:t>
            </w:r>
            <w:r w:rsidR="008C33B7">
              <w:rPr>
                <w:webHidden/>
              </w:rPr>
              <w:fldChar w:fldCharType="end"/>
            </w:r>
          </w:hyperlink>
        </w:p>
        <w:p w14:paraId="41457407" w14:textId="77777777" w:rsidR="008C33B7" w:rsidRDefault="00526C19">
          <w:pPr>
            <w:pStyle w:val="TOC1"/>
            <w:rPr>
              <w:rFonts w:asciiTheme="minorHAnsi" w:eastAsiaTheme="minorEastAsia" w:hAnsiTheme="minorHAnsi"/>
              <w:b w:val="0"/>
              <w:lang w:eastAsia="en-AU"/>
            </w:rPr>
          </w:pPr>
          <w:hyperlink w:anchor="_Toc58774281" w:history="1">
            <w:r w:rsidR="008C33B7" w:rsidRPr="00102777">
              <w:rPr>
                <w:rStyle w:val="Hyperlink"/>
              </w:rPr>
              <w:t>Background</w:t>
            </w:r>
            <w:r w:rsidR="008C33B7">
              <w:rPr>
                <w:webHidden/>
              </w:rPr>
              <w:tab/>
            </w:r>
            <w:r w:rsidR="008C33B7">
              <w:rPr>
                <w:webHidden/>
              </w:rPr>
              <w:fldChar w:fldCharType="begin"/>
            </w:r>
            <w:r w:rsidR="008C33B7">
              <w:rPr>
                <w:webHidden/>
              </w:rPr>
              <w:instrText xml:space="preserve"> PAGEREF _Toc58774281 \h </w:instrText>
            </w:r>
            <w:r w:rsidR="008C33B7">
              <w:rPr>
                <w:webHidden/>
              </w:rPr>
            </w:r>
            <w:r w:rsidR="008C33B7">
              <w:rPr>
                <w:webHidden/>
              </w:rPr>
              <w:fldChar w:fldCharType="separate"/>
            </w:r>
            <w:r w:rsidR="00FE420F">
              <w:rPr>
                <w:webHidden/>
              </w:rPr>
              <w:t>1</w:t>
            </w:r>
            <w:r w:rsidR="008C33B7">
              <w:rPr>
                <w:webHidden/>
              </w:rPr>
              <w:fldChar w:fldCharType="end"/>
            </w:r>
          </w:hyperlink>
        </w:p>
        <w:p w14:paraId="2081061D" w14:textId="77777777" w:rsidR="008C33B7" w:rsidRDefault="00526C19">
          <w:pPr>
            <w:pStyle w:val="TOC1"/>
            <w:rPr>
              <w:rFonts w:asciiTheme="minorHAnsi" w:eastAsiaTheme="minorEastAsia" w:hAnsiTheme="minorHAnsi"/>
              <w:b w:val="0"/>
              <w:lang w:eastAsia="en-AU"/>
            </w:rPr>
          </w:pPr>
          <w:hyperlink w:anchor="_Toc58774282" w:history="1">
            <w:r w:rsidR="008C33B7" w:rsidRPr="00102777">
              <w:rPr>
                <w:rStyle w:val="Hyperlink"/>
              </w:rPr>
              <w:t>1</w:t>
            </w:r>
            <w:r w:rsidR="008C33B7">
              <w:rPr>
                <w:rFonts w:asciiTheme="minorHAnsi" w:eastAsiaTheme="minorEastAsia" w:hAnsiTheme="minorHAnsi"/>
                <w:b w:val="0"/>
                <w:lang w:eastAsia="en-AU"/>
              </w:rPr>
              <w:tab/>
            </w:r>
            <w:r w:rsidR="008C33B7" w:rsidRPr="00102777">
              <w:rPr>
                <w:rStyle w:val="Hyperlink"/>
              </w:rPr>
              <w:t>Recommendation status</w:t>
            </w:r>
            <w:r w:rsidR="008C33B7">
              <w:rPr>
                <w:webHidden/>
              </w:rPr>
              <w:tab/>
            </w:r>
            <w:r w:rsidR="008C33B7">
              <w:rPr>
                <w:webHidden/>
              </w:rPr>
              <w:fldChar w:fldCharType="begin"/>
            </w:r>
            <w:r w:rsidR="008C33B7">
              <w:rPr>
                <w:webHidden/>
              </w:rPr>
              <w:instrText xml:space="preserve"> PAGEREF _Toc58774282 \h </w:instrText>
            </w:r>
            <w:r w:rsidR="008C33B7">
              <w:rPr>
                <w:webHidden/>
              </w:rPr>
            </w:r>
            <w:r w:rsidR="008C33B7">
              <w:rPr>
                <w:webHidden/>
              </w:rPr>
              <w:fldChar w:fldCharType="separate"/>
            </w:r>
            <w:r w:rsidR="00FE420F">
              <w:rPr>
                <w:webHidden/>
              </w:rPr>
              <w:t>3</w:t>
            </w:r>
            <w:r w:rsidR="008C33B7">
              <w:rPr>
                <w:webHidden/>
              </w:rPr>
              <w:fldChar w:fldCharType="end"/>
            </w:r>
          </w:hyperlink>
        </w:p>
        <w:p w14:paraId="10D44AA6" w14:textId="77777777" w:rsidR="008C33B7" w:rsidRDefault="00526C19">
          <w:pPr>
            <w:pStyle w:val="TOC2"/>
            <w:tabs>
              <w:tab w:val="left" w:pos="1100"/>
            </w:tabs>
            <w:rPr>
              <w:rFonts w:asciiTheme="minorHAnsi" w:eastAsiaTheme="minorEastAsia" w:hAnsiTheme="minorHAnsi"/>
              <w:lang w:eastAsia="en-AU"/>
            </w:rPr>
          </w:pPr>
          <w:hyperlink w:anchor="_Toc58774283" w:history="1">
            <w:r w:rsidR="008C33B7" w:rsidRPr="00102777">
              <w:rPr>
                <w:rStyle w:val="Hyperlink"/>
              </w:rPr>
              <w:t>1.1</w:t>
            </w:r>
            <w:r w:rsidR="008C33B7">
              <w:rPr>
                <w:rFonts w:asciiTheme="minorHAnsi" w:eastAsiaTheme="minorEastAsia" w:hAnsiTheme="minorHAnsi"/>
                <w:lang w:eastAsia="en-AU"/>
              </w:rPr>
              <w:tab/>
            </w:r>
            <w:r w:rsidR="008C33B7" w:rsidRPr="00102777">
              <w:rPr>
                <w:rStyle w:val="Hyperlink"/>
              </w:rPr>
              <w:t>Organising for a strong regulatory practice</w:t>
            </w:r>
            <w:r w:rsidR="008C33B7">
              <w:rPr>
                <w:webHidden/>
              </w:rPr>
              <w:tab/>
            </w:r>
            <w:r w:rsidR="008C33B7">
              <w:rPr>
                <w:webHidden/>
              </w:rPr>
              <w:fldChar w:fldCharType="begin"/>
            </w:r>
            <w:r w:rsidR="008C33B7">
              <w:rPr>
                <w:webHidden/>
              </w:rPr>
              <w:instrText xml:space="preserve"> PAGEREF _Toc58774283 \h </w:instrText>
            </w:r>
            <w:r w:rsidR="008C33B7">
              <w:rPr>
                <w:webHidden/>
              </w:rPr>
            </w:r>
            <w:r w:rsidR="008C33B7">
              <w:rPr>
                <w:webHidden/>
              </w:rPr>
              <w:fldChar w:fldCharType="separate"/>
            </w:r>
            <w:r w:rsidR="00FE420F">
              <w:rPr>
                <w:webHidden/>
              </w:rPr>
              <w:t>4</w:t>
            </w:r>
            <w:r w:rsidR="008C33B7">
              <w:rPr>
                <w:webHidden/>
              </w:rPr>
              <w:fldChar w:fldCharType="end"/>
            </w:r>
          </w:hyperlink>
        </w:p>
        <w:p w14:paraId="3B407A0D" w14:textId="77777777" w:rsidR="008C33B7" w:rsidRDefault="00526C19">
          <w:pPr>
            <w:pStyle w:val="TOC2"/>
            <w:tabs>
              <w:tab w:val="left" w:pos="1100"/>
            </w:tabs>
            <w:rPr>
              <w:rFonts w:asciiTheme="minorHAnsi" w:eastAsiaTheme="minorEastAsia" w:hAnsiTheme="minorHAnsi"/>
              <w:lang w:eastAsia="en-AU"/>
            </w:rPr>
          </w:pPr>
          <w:hyperlink w:anchor="_Toc58774284" w:history="1">
            <w:r w:rsidR="008C33B7" w:rsidRPr="00102777">
              <w:rPr>
                <w:rStyle w:val="Hyperlink"/>
              </w:rPr>
              <w:t>1.2</w:t>
            </w:r>
            <w:r w:rsidR="008C33B7">
              <w:rPr>
                <w:rFonts w:asciiTheme="minorHAnsi" w:eastAsiaTheme="minorEastAsia" w:hAnsiTheme="minorHAnsi"/>
                <w:lang w:eastAsia="en-AU"/>
              </w:rPr>
              <w:tab/>
            </w:r>
            <w:r w:rsidR="008C33B7" w:rsidRPr="00102777">
              <w:rPr>
                <w:rStyle w:val="Hyperlink"/>
              </w:rPr>
              <w:t>Animal welfare being integral to the regulatory approach</w:t>
            </w:r>
            <w:r w:rsidR="008C33B7">
              <w:rPr>
                <w:webHidden/>
              </w:rPr>
              <w:tab/>
            </w:r>
            <w:r w:rsidR="008C33B7">
              <w:rPr>
                <w:webHidden/>
              </w:rPr>
              <w:fldChar w:fldCharType="begin"/>
            </w:r>
            <w:r w:rsidR="008C33B7">
              <w:rPr>
                <w:webHidden/>
              </w:rPr>
              <w:instrText xml:space="preserve"> PAGEREF _Toc58774284 \h </w:instrText>
            </w:r>
            <w:r w:rsidR="008C33B7">
              <w:rPr>
                <w:webHidden/>
              </w:rPr>
            </w:r>
            <w:r w:rsidR="008C33B7">
              <w:rPr>
                <w:webHidden/>
              </w:rPr>
              <w:fldChar w:fldCharType="separate"/>
            </w:r>
            <w:r w:rsidR="00FE420F">
              <w:rPr>
                <w:webHidden/>
              </w:rPr>
              <w:t>15</w:t>
            </w:r>
            <w:r w:rsidR="008C33B7">
              <w:rPr>
                <w:webHidden/>
              </w:rPr>
              <w:fldChar w:fldCharType="end"/>
            </w:r>
          </w:hyperlink>
        </w:p>
        <w:p w14:paraId="339723F5" w14:textId="77777777" w:rsidR="008C33B7" w:rsidRDefault="00526C19">
          <w:pPr>
            <w:pStyle w:val="TOC2"/>
            <w:tabs>
              <w:tab w:val="left" w:pos="1100"/>
            </w:tabs>
            <w:rPr>
              <w:rFonts w:asciiTheme="minorHAnsi" w:eastAsiaTheme="minorEastAsia" w:hAnsiTheme="minorHAnsi"/>
              <w:lang w:eastAsia="en-AU"/>
            </w:rPr>
          </w:pPr>
          <w:hyperlink w:anchor="_Toc58774285" w:history="1">
            <w:r w:rsidR="008C33B7" w:rsidRPr="00102777">
              <w:rPr>
                <w:rStyle w:val="Hyperlink"/>
              </w:rPr>
              <w:t>1.3</w:t>
            </w:r>
            <w:r w:rsidR="008C33B7">
              <w:rPr>
                <w:rFonts w:asciiTheme="minorHAnsi" w:eastAsiaTheme="minorEastAsia" w:hAnsiTheme="minorHAnsi"/>
                <w:lang w:eastAsia="en-AU"/>
              </w:rPr>
              <w:tab/>
            </w:r>
            <w:r w:rsidR="008C33B7" w:rsidRPr="00102777">
              <w:rPr>
                <w:rStyle w:val="Hyperlink"/>
              </w:rPr>
              <w:t>A regulator with the necessary skills and systems</w:t>
            </w:r>
            <w:r w:rsidR="008C33B7">
              <w:rPr>
                <w:webHidden/>
              </w:rPr>
              <w:tab/>
            </w:r>
            <w:r w:rsidR="008C33B7">
              <w:rPr>
                <w:webHidden/>
              </w:rPr>
              <w:fldChar w:fldCharType="begin"/>
            </w:r>
            <w:r w:rsidR="008C33B7">
              <w:rPr>
                <w:webHidden/>
              </w:rPr>
              <w:instrText xml:space="preserve"> PAGEREF _Toc58774285 \h </w:instrText>
            </w:r>
            <w:r w:rsidR="008C33B7">
              <w:rPr>
                <w:webHidden/>
              </w:rPr>
            </w:r>
            <w:r w:rsidR="008C33B7">
              <w:rPr>
                <w:webHidden/>
              </w:rPr>
              <w:fldChar w:fldCharType="separate"/>
            </w:r>
            <w:r w:rsidR="00FE420F">
              <w:rPr>
                <w:webHidden/>
              </w:rPr>
              <w:t>19</w:t>
            </w:r>
            <w:r w:rsidR="008C33B7">
              <w:rPr>
                <w:webHidden/>
              </w:rPr>
              <w:fldChar w:fldCharType="end"/>
            </w:r>
          </w:hyperlink>
        </w:p>
        <w:p w14:paraId="484B42AC" w14:textId="77777777" w:rsidR="008C33B7" w:rsidRDefault="00526C19">
          <w:pPr>
            <w:pStyle w:val="TOC2"/>
            <w:tabs>
              <w:tab w:val="left" w:pos="1100"/>
            </w:tabs>
            <w:rPr>
              <w:rFonts w:asciiTheme="minorHAnsi" w:eastAsiaTheme="minorEastAsia" w:hAnsiTheme="minorHAnsi"/>
              <w:lang w:eastAsia="en-AU"/>
            </w:rPr>
          </w:pPr>
          <w:hyperlink w:anchor="_Toc58774286" w:history="1">
            <w:r w:rsidR="008C33B7" w:rsidRPr="00102777">
              <w:rPr>
                <w:rStyle w:val="Hyperlink"/>
              </w:rPr>
              <w:t>1.4</w:t>
            </w:r>
            <w:r w:rsidR="008C33B7">
              <w:rPr>
                <w:rFonts w:asciiTheme="minorHAnsi" w:eastAsiaTheme="minorEastAsia" w:hAnsiTheme="minorHAnsi"/>
                <w:lang w:eastAsia="en-AU"/>
              </w:rPr>
              <w:tab/>
            </w:r>
            <w:r w:rsidR="008C33B7" w:rsidRPr="00102777">
              <w:rPr>
                <w:rStyle w:val="Hyperlink"/>
              </w:rPr>
              <w:t>A transparent and well-engaged regulator</w:t>
            </w:r>
            <w:r w:rsidR="008C33B7">
              <w:rPr>
                <w:webHidden/>
              </w:rPr>
              <w:tab/>
            </w:r>
            <w:r w:rsidR="008C33B7">
              <w:rPr>
                <w:webHidden/>
              </w:rPr>
              <w:fldChar w:fldCharType="begin"/>
            </w:r>
            <w:r w:rsidR="008C33B7">
              <w:rPr>
                <w:webHidden/>
              </w:rPr>
              <w:instrText xml:space="preserve"> PAGEREF _Toc58774286 \h </w:instrText>
            </w:r>
            <w:r w:rsidR="008C33B7">
              <w:rPr>
                <w:webHidden/>
              </w:rPr>
            </w:r>
            <w:r w:rsidR="008C33B7">
              <w:rPr>
                <w:webHidden/>
              </w:rPr>
              <w:fldChar w:fldCharType="separate"/>
            </w:r>
            <w:r w:rsidR="00FE420F">
              <w:rPr>
                <w:webHidden/>
              </w:rPr>
              <w:t>25</w:t>
            </w:r>
            <w:r w:rsidR="008C33B7">
              <w:rPr>
                <w:webHidden/>
              </w:rPr>
              <w:fldChar w:fldCharType="end"/>
            </w:r>
          </w:hyperlink>
        </w:p>
        <w:p w14:paraId="0A49A411" w14:textId="77777777" w:rsidR="008C33B7" w:rsidRDefault="00526C19">
          <w:pPr>
            <w:pStyle w:val="TOC1"/>
            <w:rPr>
              <w:rFonts w:asciiTheme="minorHAnsi" w:eastAsiaTheme="minorEastAsia" w:hAnsiTheme="minorHAnsi"/>
              <w:b w:val="0"/>
              <w:lang w:eastAsia="en-AU"/>
            </w:rPr>
          </w:pPr>
          <w:hyperlink w:anchor="_Toc58774287" w:history="1">
            <w:r w:rsidR="008C33B7" w:rsidRPr="00102777">
              <w:rPr>
                <w:rStyle w:val="Hyperlink"/>
              </w:rPr>
              <w:t>2</w:t>
            </w:r>
            <w:r w:rsidR="008C33B7">
              <w:rPr>
                <w:rFonts w:asciiTheme="minorHAnsi" w:eastAsiaTheme="minorEastAsia" w:hAnsiTheme="minorHAnsi"/>
                <w:b w:val="0"/>
                <w:lang w:eastAsia="en-AU"/>
              </w:rPr>
              <w:tab/>
            </w:r>
            <w:r w:rsidR="008C33B7" w:rsidRPr="00102777">
              <w:rPr>
                <w:rStyle w:val="Hyperlink"/>
              </w:rPr>
              <w:t>Improved regulatory practice</w:t>
            </w:r>
            <w:r w:rsidR="008C33B7">
              <w:rPr>
                <w:webHidden/>
              </w:rPr>
              <w:tab/>
            </w:r>
            <w:r w:rsidR="008C33B7">
              <w:rPr>
                <w:webHidden/>
              </w:rPr>
              <w:fldChar w:fldCharType="begin"/>
            </w:r>
            <w:r w:rsidR="008C33B7">
              <w:rPr>
                <w:webHidden/>
              </w:rPr>
              <w:instrText xml:space="preserve"> PAGEREF _Toc58774287 \h </w:instrText>
            </w:r>
            <w:r w:rsidR="008C33B7">
              <w:rPr>
                <w:webHidden/>
              </w:rPr>
            </w:r>
            <w:r w:rsidR="008C33B7">
              <w:rPr>
                <w:webHidden/>
              </w:rPr>
              <w:fldChar w:fldCharType="separate"/>
            </w:r>
            <w:r w:rsidR="00FE420F">
              <w:rPr>
                <w:webHidden/>
              </w:rPr>
              <w:t>31</w:t>
            </w:r>
            <w:r w:rsidR="008C33B7">
              <w:rPr>
                <w:webHidden/>
              </w:rPr>
              <w:fldChar w:fldCharType="end"/>
            </w:r>
          </w:hyperlink>
        </w:p>
        <w:p w14:paraId="4627E303" w14:textId="77777777" w:rsidR="008C33B7" w:rsidRDefault="00526C19">
          <w:pPr>
            <w:pStyle w:val="TOC2"/>
            <w:tabs>
              <w:tab w:val="left" w:pos="1100"/>
            </w:tabs>
            <w:rPr>
              <w:rFonts w:asciiTheme="minorHAnsi" w:eastAsiaTheme="minorEastAsia" w:hAnsiTheme="minorHAnsi"/>
              <w:lang w:eastAsia="en-AU"/>
            </w:rPr>
          </w:pPr>
          <w:hyperlink w:anchor="_Toc58774288" w:history="1">
            <w:r w:rsidR="008C33B7" w:rsidRPr="00102777">
              <w:rPr>
                <w:rStyle w:val="Hyperlink"/>
              </w:rPr>
              <w:t>2.1</w:t>
            </w:r>
            <w:r w:rsidR="008C33B7">
              <w:rPr>
                <w:rFonts w:asciiTheme="minorHAnsi" w:eastAsiaTheme="minorEastAsia" w:hAnsiTheme="minorHAnsi"/>
                <w:lang w:eastAsia="en-AU"/>
              </w:rPr>
              <w:tab/>
            </w:r>
            <w:r w:rsidR="008C33B7" w:rsidRPr="00102777">
              <w:rPr>
                <w:rStyle w:val="Hyperlink"/>
              </w:rPr>
              <w:t>Organising for a strong regulatory practice – compliance and enforcement</w:t>
            </w:r>
            <w:r w:rsidR="008C33B7">
              <w:rPr>
                <w:webHidden/>
              </w:rPr>
              <w:tab/>
            </w:r>
            <w:r w:rsidR="008C33B7">
              <w:rPr>
                <w:webHidden/>
              </w:rPr>
              <w:fldChar w:fldCharType="begin"/>
            </w:r>
            <w:r w:rsidR="008C33B7">
              <w:rPr>
                <w:webHidden/>
              </w:rPr>
              <w:instrText xml:space="preserve"> PAGEREF _Toc58774288 \h </w:instrText>
            </w:r>
            <w:r w:rsidR="008C33B7">
              <w:rPr>
                <w:webHidden/>
              </w:rPr>
            </w:r>
            <w:r w:rsidR="008C33B7">
              <w:rPr>
                <w:webHidden/>
              </w:rPr>
              <w:fldChar w:fldCharType="separate"/>
            </w:r>
            <w:r w:rsidR="00FE420F">
              <w:rPr>
                <w:webHidden/>
              </w:rPr>
              <w:t>31</w:t>
            </w:r>
            <w:r w:rsidR="008C33B7">
              <w:rPr>
                <w:webHidden/>
              </w:rPr>
              <w:fldChar w:fldCharType="end"/>
            </w:r>
          </w:hyperlink>
        </w:p>
        <w:p w14:paraId="033CC4D5" w14:textId="77777777" w:rsidR="008C33B7" w:rsidRDefault="00526C19">
          <w:pPr>
            <w:pStyle w:val="TOC2"/>
            <w:tabs>
              <w:tab w:val="left" w:pos="1100"/>
            </w:tabs>
            <w:rPr>
              <w:rFonts w:asciiTheme="minorHAnsi" w:eastAsiaTheme="minorEastAsia" w:hAnsiTheme="minorHAnsi"/>
              <w:lang w:eastAsia="en-AU"/>
            </w:rPr>
          </w:pPr>
          <w:hyperlink w:anchor="_Toc58774289" w:history="1">
            <w:r w:rsidR="008C33B7" w:rsidRPr="00102777">
              <w:rPr>
                <w:rStyle w:val="Hyperlink"/>
              </w:rPr>
              <w:t>2.2</w:t>
            </w:r>
            <w:r w:rsidR="008C33B7">
              <w:rPr>
                <w:rFonts w:asciiTheme="minorHAnsi" w:eastAsiaTheme="minorEastAsia" w:hAnsiTheme="minorHAnsi"/>
                <w:lang w:eastAsia="en-AU"/>
              </w:rPr>
              <w:tab/>
            </w:r>
            <w:r w:rsidR="008C33B7" w:rsidRPr="00102777">
              <w:rPr>
                <w:rStyle w:val="Hyperlink"/>
              </w:rPr>
              <w:t>Ensuring animal welfare is integral to the department’s regulatory approach – regulatory culture</w:t>
            </w:r>
            <w:r w:rsidR="008C33B7">
              <w:rPr>
                <w:webHidden/>
              </w:rPr>
              <w:tab/>
            </w:r>
            <w:r w:rsidR="008C33B7">
              <w:rPr>
                <w:webHidden/>
              </w:rPr>
              <w:fldChar w:fldCharType="begin"/>
            </w:r>
            <w:r w:rsidR="008C33B7">
              <w:rPr>
                <w:webHidden/>
              </w:rPr>
              <w:instrText xml:space="preserve"> PAGEREF _Toc58774289 \h </w:instrText>
            </w:r>
            <w:r w:rsidR="008C33B7">
              <w:rPr>
                <w:webHidden/>
              </w:rPr>
            </w:r>
            <w:r w:rsidR="008C33B7">
              <w:rPr>
                <w:webHidden/>
              </w:rPr>
              <w:fldChar w:fldCharType="separate"/>
            </w:r>
            <w:r w:rsidR="00FE420F">
              <w:rPr>
                <w:webHidden/>
              </w:rPr>
              <w:t>36</w:t>
            </w:r>
            <w:r w:rsidR="008C33B7">
              <w:rPr>
                <w:webHidden/>
              </w:rPr>
              <w:fldChar w:fldCharType="end"/>
            </w:r>
          </w:hyperlink>
        </w:p>
        <w:p w14:paraId="4D57D195" w14:textId="77777777" w:rsidR="008C33B7" w:rsidRDefault="00526C19">
          <w:pPr>
            <w:pStyle w:val="TOC1"/>
            <w:rPr>
              <w:rFonts w:asciiTheme="minorHAnsi" w:eastAsiaTheme="minorEastAsia" w:hAnsiTheme="minorHAnsi"/>
              <w:b w:val="0"/>
              <w:lang w:eastAsia="en-AU"/>
            </w:rPr>
          </w:pPr>
          <w:hyperlink w:anchor="_Toc58774290" w:history="1">
            <w:r w:rsidR="008C33B7" w:rsidRPr="00102777">
              <w:rPr>
                <w:rStyle w:val="Hyperlink"/>
              </w:rPr>
              <w:t>Appendix A: Department’s response</w:t>
            </w:r>
            <w:r w:rsidR="008C33B7">
              <w:rPr>
                <w:webHidden/>
              </w:rPr>
              <w:tab/>
            </w:r>
            <w:r w:rsidR="008C33B7">
              <w:rPr>
                <w:webHidden/>
              </w:rPr>
              <w:fldChar w:fldCharType="begin"/>
            </w:r>
            <w:r w:rsidR="008C33B7">
              <w:rPr>
                <w:webHidden/>
              </w:rPr>
              <w:instrText xml:space="preserve"> PAGEREF _Toc58774290 \h </w:instrText>
            </w:r>
            <w:r w:rsidR="008C33B7">
              <w:rPr>
                <w:webHidden/>
              </w:rPr>
            </w:r>
            <w:r w:rsidR="008C33B7">
              <w:rPr>
                <w:webHidden/>
              </w:rPr>
              <w:fldChar w:fldCharType="separate"/>
            </w:r>
            <w:r w:rsidR="00FE420F">
              <w:rPr>
                <w:webHidden/>
              </w:rPr>
              <w:t>41</w:t>
            </w:r>
            <w:r w:rsidR="008C33B7">
              <w:rPr>
                <w:webHidden/>
              </w:rPr>
              <w:fldChar w:fldCharType="end"/>
            </w:r>
          </w:hyperlink>
        </w:p>
        <w:p w14:paraId="3D100F6F" w14:textId="77777777" w:rsidR="008C33B7" w:rsidRDefault="00526C19">
          <w:pPr>
            <w:pStyle w:val="TOC1"/>
            <w:rPr>
              <w:rFonts w:asciiTheme="minorHAnsi" w:eastAsiaTheme="minorEastAsia" w:hAnsiTheme="minorHAnsi"/>
              <w:b w:val="0"/>
              <w:lang w:eastAsia="en-AU"/>
            </w:rPr>
          </w:pPr>
          <w:hyperlink w:anchor="_Toc58774291" w:history="1">
            <w:r w:rsidR="008C33B7" w:rsidRPr="00102777">
              <w:rPr>
                <w:rStyle w:val="Hyperlink"/>
              </w:rPr>
              <w:t>Appendix B: List of submissions</w:t>
            </w:r>
            <w:r w:rsidR="008C33B7">
              <w:rPr>
                <w:webHidden/>
              </w:rPr>
              <w:tab/>
            </w:r>
            <w:r w:rsidR="008C33B7">
              <w:rPr>
                <w:webHidden/>
              </w:rPr>
              <w:fldChar w:fldCharType="begin"/>
            </w:r>
            <w:r w:rsidR="008C33B7">
              <w:rPr>
                <w:webHidden/>
              </w:rPr>
              <w:instrText xml:space="preserve"> PAGEREF _Toc58774291 \h </w:instrText>
            </w:r>
            <w:r w:rsidR="008C33B7">
              <w:rPr>
                <w:webHidden/>
              </w:rPr>
            </w:r>
            <w:r w:rsidR="008C33B7">
              <w:rPr>
                <w:webHidden/>
              </w:rPr>
              <w:fldChar w:fldCharType="separate"/>
            </w:r>
            <w:r w:rsidR="00FE420F">
              <w:rPr>
                <w:webHidden/>
              </w:rPr>
              <w:t>44</w:t>
            </w:r>
            <w:r w:rsidR="008C33B7">
              <w:rPr>
                <w:webHidden/>
              </w:rPr>
              <w:fldChar w:fldCharType="end"/>
            </w:r>
          </w:hyperlink>
        </w:p>
        <w:p w14:paraId="2C2CD8B0" w14:textId="77777777" w:rsidR="008C33B7" w:rsidRDefault="00526C19">
          <w:pPr>
            <w:pStyle w:val="TOC1"/>
            <w:rPr>
              <w:rFonts w:asciiTheme="minorHAnsi" w:eastAsiaTheme="minorEastAsia" w:hAnsiTheme="minorHAnsi"/>
              <w:b w:val="0"/>
              <w:lang w:eastAsia="en-AU"/>
            </w:rPr>
          </w:pPr>
          <w:hyperlink w:anchor="_Toc58774292" w:history="1">
            <w:r w:rsidR="008C33B7" w:rsidRPr="00102777">
              <w:rPr>
                <w:rStyle w:val="Hyperlink"/>
              </w:rPr>
              <w:t>References</w:t>
            </w:r>
            <w:r w:rsidR="008C33B7">
              <w:rPr>
                <w:webHidden/>
              </w:rPr>
              <w:tab/>
            </w:r>
            <w:r w:rsidR="008C33B7">
              <w:rPr>
                <w:webHidden/>
              </w:rPr>
              <w:fldChar w:fldCharType="begin"/>
            </w:r>
            <w:r w:rsidR="008C33B7">
              <w:rPr>
                <w:webHidden/>
              </w:rPr>
              <w:instrText xml:space="preserve"> PAGEREF _Toc58774292 \h </w:instrText>
            </w:r>
            <w:r w:rsidR="008C33B7">
              <w:rPr>
                <w:webHidden/>
              </w:rPr>
            </w:r>
            <w:r w:rsidR="008C33B7">
              <w:rPr>
                <w:webHidden/>
              </w:rPr>
              <w:fldChar w:fldCharType="separate"/>
            </w:r>
            <w:r w:rsidR="00FE420F">
              <w:rPr>
                <w:webHidden/>
              </w:rPr>
              <w:t>45</w:t>
            </w:r>
            <w:r w:rsidR="008C33B7">
              <w:rPr>
                <w:webHidden/>
              </w:rPr>
              <w:fldChar w:fldCharType="end"/>
            </w:r>
          </w:hyperlink>
        </w:p>
        <w:p w14:paraId="1EC5C59B" w14:textId="57CCB7E8" w:rsidR="00295785" w:rsidRDefault="00295785" w:rsidP="00295785">
          <w:pPr>
            <w:pStyle w:val="TOC1"/>
            <w:rPr>
              <w:b w:val="0"/>
            </w:rPr>
          </w:pPr>
          <w:r>
            <w:rPr>
              <w:b w:val="0"/>
            </w:rPr>
            <w:fldChar w:fldCharType="end"/>
          </w:r>
        </w:p>
      </w:sdtContent>
    </w:sdt>
    <w:bookmarkStart w:id="0" w:name="_Toc430782149" w:displacedByCustomXml="prev"/>
    <w:p w14:paraId="243A8E4C" w14:textId="77777777" w:rsidR="00295785" w:rsidRDefault="00295785" w:rsidP="00295785">
      <w:pPr>
        <w:pStyle w:val="TOCHeading2"/>
        <w:keepNext/>
      </w:pPr>
      <w:r>
        <w:t>Boxes</w:t>
      </w:r>
    </w:p>
    <w:p w14:paraId="4616422D" w14:textId="77777777" w:rsidR="008C33B7" w:rsidRDefault="00DC02F1">
      <w:pPr>
        <w:pStyle w:val="TableofFigures"/>
        <w:tabs>
          <w:tab w:val="right" w:leader="dot" w:pos="9060"/>
        </w:tabs>
        <w:rPr>
          <w:rFonts w:asciiTheme="minorHAnsi" w:eastAsiaTheme="minorEastAsia" w:hAnsiTheme="minorHAnsi"/>
          <w:noProof/>
          <w:lang w:eastAsia="en-AU"/>
        </w:rPr>
      </w:pPr>
      <w:r>
        <w:rPr>
          <w:rStyle w:val="Hyperlink"/>
        </w:rPr>
        <w:fldChar w:fldCharType="begin"/>
      </w:r>
      <w:r>
        <w:rPr>
          <w:rStyle w:val="Hyperlink"/>
        </w:rPr>
        <w:instrText xml:space="preserve"> TOC \h \z \c "Case study" </w:instrText>
      </w:r>
      <w:r>
        <w:rPr>
          <w:rStyle w:val="Hyperlink"/>
        </w:rPr>
        <w:fldChar w:fldCharType="separate"/>
      </w:r>
      <w:hyperlink w:anchor="_Toc58774293" w:history="1">
        <w:r w:rsidR="008C33B7" w:rsidRPr="00166B00">
          <w:rPr>
            <w:rStyle w:val="Hyperlink"/>
            <w:noProof/>
          </w:rPr>
          <w:t>Case study 1 MW Awassi Express 2017</w:t>
        </w:r>
        <w:r w:rsidR="008C33B7">
          <w:rPr>
            <w:noProof/>
            <w:webHidden/>
          </w:rPr>
          <w:tab/>
        </w:r>
        <w:r w:rsidR="008C33B7">
          <w:rPr>
            <w:noProof/>
            <w:webHidden/>
          </w:rPr>
          <w:fldChar w:fldCharType="begin"/>
        </w:r>
        <w:r w:rsidR="008C33B7">
          <w:rPr>
            <w:noProof/>
            <w:webHidden/>
          </w:rPr>
          <w:instrText xml:space="preserve"> PAGEREF _Toc58774293 \h </w:instrText>
        </w:r>
        <w:r w:rsidR="008C33B7">
          <w:rPr>
            <w:noProof/>
            <w:webHidden/>
          </w:rPr>
        </w:r>
        <w:r w:rsidR="008C33B7">
          <w:rPr>
            <w:noProof/>
            <w:webHidden/>
          </w:rPr>
          <w:fldChar w:fldCharType="separate"/>
        </w:r>
        <w:r w:rsidR="00FE420F">
          <w:rPr>
            <w:noProof/>
            <w:webHidden/>
          </w:rPr>
          <w:t>32</w:t>
        </w:r>
        <w:r w:rsidR="008C33B7">
          <w:rPr>
            <w:noProof/>
            <w:webHidden/>
          </w:rPr>
          <w:fldChar w:fldCharType="end"/>
        </w:r>
      </w:hyperlink>
    </w:p>
    <w:p w14:paraId="5EF59CAD" w14:textId="77777777" w:rsidR="008C33B7" w:rsidRDefault="00526C19">
      <w:pPr>
        <w:pStyle w:val="TableofFigures"/>
        <w:tabs>
          <w:tab w:val="right" w:leader="dot" w:pos="9060"/>
        </w:tabs>
        <w:rPr>
          <w:rFonts w:asciiTheme="minorHAnsi" w:eastAsiaTheme="minorEastAsia" w:hAnsiTheme="minorHAnsi"/>
          <w:noProof/>
          <w:lang w:eastAsia="en-AU"/>
        </w:rPr>
      </w:pPr>
      <w:hyperlink w:anchor="_Toc58774294" w:history="1">
        <w:r w:rsidR="008C33B7" w:rsidRPr="00166B00">
          <w:rPr>
            <w:rStyle w:val="Hyperlink"/>
            <w:noProof/>
          </w:rPr>
          <w:t>Case study 2 MV Al Kuwait northern summer exemption, June 2020</w:t>
        </w:r>
        <w:r w:rsidR="008C33B7">
          <w:rPr>
            <w:noProof/>
            <w:webHidden/>
          </w:rPr>
          <w:tab/>
        </w:r>
        <w:r w:rsidR="008C33B7">
          <w:rPr>
            <w:noProof/>
            <w:webHidden/>
          </w:rPr>
          <w:fldChar w:fldCharType="begin"/>
        </w:r>
        <w:r w:rsidR="008C33B7">
          <w:rPr>
            <w:noProof/>
            <w:webHidden/>
          </w:rPr>
          <w:instrText xml:space="preserve"> PAGEREF _Toc58774294 \h </w:instrText>
        </w:r>
        <w:r w:rsidR="008C33B7">
          <w:rPr>
            <w:noProof/>
            <w:webHidden/>
          </w:rPr>
        </w:r>
        <w:r w:rsidR="008C33B7">
          <w:rPr>
            <w:noProof/>
            <w:webHidden/>
          </w:rPr>
          <w:fldChar w:fldCharType="separate"/>
        </w:r>
        <w:r w:rsidR="00FE420F">
          <w:rPr>
            <w:noProof/>
            <w:webHidden/>
          </w:rPr>
          <w:t>38</w:t>
        </w:r>
        <w:r w:rsidR="008C33B7">
          <w:rPr>
            <w:noProof/>
            <w:webHidden/>
          </w:rPr>
          <w:fldChar w:fldCharType="end"/>
        </w:r>
      </w:hyperlink>
    </w:p>
    <w:p w14:paraId="27431D0F" w14:textId="61FA8695" w:rsidR="00295785" w:rsidRPr="0087391E" w:rsidRDefault="00DC02F1" w:rsidP="007D7EE9">
      <w:pPr>
        <w:pStyle w:val="TableofFigures"/>
        <w:tabs>
          <w:tab w:val="right" w:leader="dot" w:pos="9060"/>
        </w:tabs>
      </w:pPr>
      <w:r>
        <w:rPr>
          <w:rStyle w:val="Hyperlink"/>
        </w:rPr>
        <w:fldChar w:fldCharType="end"/>
      </w:r>
    </w:p>
    <w:p w14:paraId="54BE977F" w14:textId="77777777" w:rsidR="00295785" w:rsidRDefault="00295785" w:rsidP="00295785">
      <w:pPr>
        <w:pStyle w:val="Heading2"/>
        <w:numPr>
          <w:ilvl w:val="0"/>
          <w:numId w:val="0"/>
        </w:numPr>
        <w:ind w:left="709" w:hanging="709"/>
      </w:pPr>
      <w:bookmarkStart w:id="1" w:name="_Toc58774274"/>
      <w:r>
        <w:lastRenderedPageBreak/>
        <w:t>Review process</w:t>
      </w:r>
      <w:bookmarkEnd w:id="1"/>
    </w:p>
    <w:p w14:paraId="2EC6D52E" w14:textId="77777777" w:rsidR="00295785" w:rsidRPr="006132E2" w:rsidRDefault="00295785" w:rsidP="00295785">
      <w:pPr>
        <w:pStyle w:val="Heading3"/>
        <w:numPr>
          <w:ilvl w:val="0"/>
          <w:numId w:val="0"/>
        </w:numPr>
      </w:pPr>
      <w:bookmarkStart w:id="2" w:name="_Toc22306637"/>
      <w:bookmarkStart w:id="3" w:name="_Toc58774275"/>
      <w:bookmarkEnd w:id="2"/>
      <w:r>
        <w:t>Objectives</w:t>
      </w:r>
      <w:bookmarkEnd w:id="3"/>
    </w:p>
    <w:p w14:paraId="70ECE726" w14:textId="55BCF952" w:rsidR="00393D0E" w:rsidRDefault="00BC6DC3" w:rsidP="00295785">
      <w:r>
        <w:rPr>
          <w:lang w:val="en"/>
        </w:rPr>
        <w:t>T</w:t>
      </w:r>
      <w:r w:rsidR="00295785">
        <w:rPr>
          <w:lang w:val="en"/>
        </w:rPr>
        <w:t>his review examine</w:t>
      </w:r>
      <w:r>
        <w:rPr>
          <w:lang w:val="en"/>
        </w:rPr>
        <w:t>s</w:t>
      </w:r>
      <w:r w:rsidR="004D47D7">
        <w:rPr>
          <w:lang w:val="en"/>
        </w:rPr>
        <w:t xml:space="preserve"> </w:t>
      </w:r>
      <w:r w:rsidR="004D47D7" w:rsidRPr="005B47A7">
        <w:t>the Department of Agriculture, Water and the Environment</w:t>
      </w:r>
      <w:r w:rsidR="00764015">
        <w:t xml:space="preserve">’s progress in </w:t>
      </w:r>
      <w:r w:rsidR="004D47D7" w:rsidRPr="005B47A7">
        <w:t>implement</w:t>
      </w:r>
      <w:r>
        <w:t>ing</w:t>
      </w:r>
      <w:r w:rsidR="004D47D7" w:rsidRPr="005B47A7">
        <w:t xml:space="preserve"> the </w:t>
      </w:r>
      <w:r w:rsidR="004D47D7">
        <w:t xml:space="preserve">31 </w:t>
      </w:r>
      <w:r w:rsidR="004D47D7" w:rsidRPr="005B47A7">
        <w:t xml:space="preserve">recommendations of the September 2018 </w:t>
      </w:r>
      <w:r w:rsidR="004D47D7" w:rsidRPr="007F3558">
        <w:t xml:space="preserve">independent </w:t>
      </w:r>
      <w:hyperlink r:id="rId15" w:history="1">
        <w:r w:rsidR="004D47D7" w:rsidRPr="00095548">
          <w:rPr>
            <w:rStyle w:val="Hyperlink"/>
          </w:rPr>
          <w:t>Review of Regulatory Capability and Culture of the Department of Agriculture and Water Resources in the Regulation of Live Animal Exports</w:t>
        </w:r>
      </w:hyperlink>
      <w:r w:rsidR="004D47D7" w:rsidRPr="007F3558">
        <w:t xml:space="preserve"> (</w:t>
      </w:r>
      <w:r w:rsidR="006932ED" w:rsidRPr="007F3558">
        <w:t>Moss Review</w:t>
      </w:r>
      <w:r w:rsidR="004D47D7" w:rsidRPr="007F3558">
        <w:t>)</w:t>
      </w:r>
      <w:r w:rsidR="00BC1325" w:rsidRPr="007F3558">
        <w:t>.</w:t>
      </w:r>
    </w:p>
    <w:p w14:paraId="1CED0AB9" w14:textId="029E3612" w:rsidR="00295785" w:rsidRPr="007E38F2" w:rsidRDefault="00634CBD" w:rsidP="00295785">
      <w:pPr>
        <w:rPr>
          <w:lang w:val="en"/>
        </w:rPr>
      </w:pPr>
      <w:r w:rsidRPr="007F3558">
        <w:t xml:space="preserve">The department </w:t>
      </w:r>
      <w:r w:rsidR="00BC1325" w:rsidRPr="007F3558">
        <w:t>support</w:t>
      </w:r>
      <w:r w:rsidRPr="007F3558">
        <w:t>s</w:t>
      </w:r>
      <w:r w:rsidR="00BC1325" w:rsidRPr="007F3558">
        <w:t>, or support</w:t>
      </w:r>
      <w:r w:rsidRPr="007F3558">
        <w:t>s</w:t>
      </w:r>
      <w:r w:rsidR="00BC1325" w:rsidRPr="007F3558">
        <w:t xml:space="preserve"> in principle, the 31 recommendations of the </w:t>
      </w:r>
      <w:r w:rsidR="006932ED" w:rsidRPr="007F3558">
        <w:t>Moss</w:t>
      </w:r>
      <w:r w:rsidR="006932ED">
        <w:t xml:space="preserve"> Review</w:t>
      </w:r>
      <w:r>
        <w:t>.</w:t>
      </w:r>
      <w:r w:rsidR="00BC1325">
        <w:t xml:space="preserve"> </w:t>
      </w:r>
      <w:r>
        <w:t>I</w:t>
      </w:r>
      <w:r w:rsidR="00520B3C">
        <w:t xml:space="preserve">n </w:t>
      </w:r>
      <w:r w:rsidR="00BC6DC3">
        <w:t>its</w:t>
      </w:r>
      <w:r w:rsidR="00520B3C">
        <w:t xml:space="preserve"> </w:t>
      </w:r>
      <w:r w:rsidR="00520B3C" w:rsidRPr="00520B3C">
        <w:rPr>
          <w:rStyle w:val="Emphasis"/>
        </w:rPr>
        <w:t>Review of the regulatory capability and culture of the Department of Agriculture and Water Resources in the regulation of live animal exports: 2019 progress report</w:t>
      </w:r>
      <w:r w:rsidR="00520B3C">
        <w:t xml:space="preserve"> </w:t>
      </w:r>
      <w:r w:rsidR="00520B3C" w:rsidRPr="00AC4D99">
        <w:t>(</w:t>
      </w:r>
      <w:r w:rsidR="00520B3C" w:rsidRPr="001D71C2">
        <w:t>Department of Agriculture 2019</w:t>
      </w:r>
      <w:r w:rsidR="00520B3C" w:rsidRPr="00AC4D99">
        <w:t>)</w:t>
      </w:r>
      <w:r>
        <w:t>, the department stated</w:t>
      </w:r>
      <w:r w:rsidR="00520B3C">
        <w:t xml:space="preserve"> </w:t>
      </w:r>
      <w:r w:rsidR="00BC1325">
        <w:t>that it would focus on</w:t>
      </w:r>
      <w:r w:rsidR="00295785" w:rsidRPr="007E38F2">
        <w:rPr>
          <w:lang w:val="en"/>
        </w:rPr>
        <w:t>:</w:t>
      </w:r>
    </w:p>
    <w:p w14:paraId="4CC119D9" w14:textId="1D873B79" w:rsidR="004D47D7" w:rsidRPr="00A244EC" w:rsidRDefault="007C510B" w:rsidP="0023672B">
      <w:pPr>
        <w:pStyle w:val="ListBullet"/>
      </w:pPr>
      <w:r>
        <w:t xml:space="preserve">organising for </w:t>
      </w:r>
      <w:r w:rsidR="004D47D7" w:rsidRPr="00A244EC">
        <w:t>a strong regulatory practice</w:t>
      </w:r>
    </w:p>
    <w:p w14:paraId="27096DFA" w14:textId="12FEAFC2" w:rsidR="004D47D7" w:rsidRPr="00A244EC" w:rsidRDefault="007C510B" w:rsidP="0023672B">
      <w:pPr>
        <w:pStyle w:val="ListBullet"/>
      </w:pPr>
      <w:r>
        <w:t xml:space="preserve">ensuring </w:t>
      </w:r>
      <w:r w:rsidR="004D47D7" w:rsidRPr="00A244EC">
        <w:t>a transparent and well-engaged regulator</w:t>
      </w:r>
    </w:p>
    <w:p w14:paraId="2FCCE8FC" w14:textId="31447D9A" w:rsidR="004D47D7" w:rsidRPr="00A244EC" w:rsidRDefault="007C510B" w:rsidP="0023672B">
      <w:pPr>
        <w:pStyle w:val="ListBullet"/>
      </w:pPr>
      <w:r>
        <w:t xml:space="preserve">delivering </w:t>
      </w:r>
      <w:r w:rsidR="004D47D7" w:rsidRPr="00A244EC">
        <w:t>a regulator with the necessary skills and systems</w:t>
      </w:r>
    </w:p>
    <w:p w14:paraId="6312EB3A" w14:textId="3C0F3469" w:rsidR="00295785" w:rsidRPr="004D47D7" w:rsidRDefault="007C510B" w:rsidP="00AC4D99">
      <w:pPr>
        <w:pStyle w:val="ListBullet"/>
      </w:pPr>
      <w:r>
        <w:t xml:space="preserve">ensuring </w:t>
      </w:r>
      <w:r w:rsidR="004D47D7" w:rsidRPr="00A244EC">
        <w:t>animal welfare is integral to its regulatory approach.</w:t>
      </w:r>
    </w:p>
    <w:p w14:paraId="67D70E8C" w14:textId="77777777" w:rsidR="00295785" w:rsidRPr="00AD1BD7" w:rsidRDefault="00295785" w:rsidP="00295785">
      <w:pPr>
        <w:pStyle w:val="Heading3"/>
        <w:numPr>
          <w:ilvl w:val="0"/>
          <w:numId w:val="0"/>
        </w:numPr>
      </w:pPr>
      <w:bookmarkStart w:id="4" w:name="_Toc22306639"/>
      <w:bookmarkStart w:id="5" w:name="_Toc58774276"/>
      <w:bookmarkEnd w:id="4"/>
      <w:r w:rsidRPr="00AD1BD7">
        <w:t>Scope</w:t>
      </w:r>
      <w:bookmarkEnd w:id="5"/>
    </w:p>
    <w:p w14:paraId="40560214" w14:textId="15C898E5" w:rsidR="00295785" w:rsidRPr="00A80D5D" w:rsidRDefault="00634CBD" w:rsidP="00295785">
      <w:pPr>
        <w:rPr>
          <w:lang w:val="en"/>
        </w:rPr>
      </w:pPr>
      <w:r>
        <w:t>T</w:t>
      </w:r>
      <w:r w:rsidR="00295785">
        <w:t xml:space="preserve">his review </w:t>
      </w:r>
      <w:r>
        <w:t>examines</w:t>
      </w:r>
      <w:r w:rsidR="00295785" w:rsidRPr="00AD1BD7">
        <w:t xml:space="preserve"> the department’s </w:t>
      </w:r>
      <w:r w:rsidR="0019669E">
        <w:t>progress</w:t>
      </w:r>
      <w:r w:rsidR="0019669E" w:rsidRPr="00AD1BD7">
        <w:t xml:space="preserve"> </w:t>
      </w:r>
      <w:r w:rsidR="00764015">
        <w:t>with</w:t>
      </w:r>
      <w:r w:rsidR="0019669E" w:rsidRPr="00AD1BD7">
        <w:t xml:space="preserve"> </w:t>
      </w:r>
      <w:r w:rsidR="0019669E">
        <w:t>implement</w:t>
      </w:r>
      <w:r w:rsidR="007C510B">
        <w:t>ing</w:t>
      </w:r>
      <w:r w:rsidR="0019669E">
        <w:t xml:space="preserve"> the </w:t>
      </w:r>
      <w:r w:rsidR="006932ED">
        <w:t>Moss Review</w:t>
      </w:r>
      <w:r w:rsidR="00C4358C">
        <w:t xml:space="preserve"> </w:t>
      </w:r>
      <w:r w:rsidR="0019669E">
        <w:t>recommendations</w:t>
      </w:r>
      <w:r w:rsidR="0019669E" w:rsidRPr="00AD1BD7">
        <w:t>, and consider</w:t>
      </w:r>
      <w:r>
        <w:t>s</w:t>
      </w:r>
      <w:r w:rsidR="00295785" w:rsidRPr="00AD1BD7">
        <w:t>:</w:t>
      </w:r>
    </w:p>
    <w:p w14:paraId="3E9A7E5A" w14:textId="2CFC8420" w:rsidR="0019669E" w:rsidRDefault="0019669E" w:rsidP="0023672B">
      <w:pPr>
        <w:pStyle w:val="ListBullet"/>
      </w:pPr>
      <w:r>
        <w:t xml:space="preserve">the department’s </w:t>
      </w:r>
      <w:r w:rsidR="007C510B">
        <w:t xml:space="preserve">formal </w:t>
      </w:r>
      <w:r>
        <w:t>response to each recommendation</w:t>
      </w:r>
    </w:p>
    <w:p w14:paraId="47EE084E" w14:textId="5FAAF1E8" w:rsidR="0019669E" w:rsidRPr="00F57259" w:rsidRDefault="0019669E" w:rsidP="0023672B">
      <w:pPr>
        <w:pStyle w:val="ListBullet"/>
      </w:pPr>
      <w:r>
        <w:t>subsequent actions against each recommendation</w:t>
      </w:r>
    </w:p>
    <w:p w14:paraId="11C1685D" w14:textId="0F3CCCCC" w:rsidR="0019669E" w:rsidRPr="0019669E" w:rsidRDefault="0019669E" w:rsidP="0023672B">
      <w:pPr>
        <w:pStyle w:val="ListBullet"/>
      </w:pPr>
      <w:r>
        <w:rPr>
          <w:lang w:val="en"/>
        </w:rPr>
        <w:t xml:space="preserve">key deliverables since the release of the </w:t>
      </w:r>
      <w:r w:rsidR="006932ED">
        <w:rPr>
          <w:lang w:val="en"/>
        </w:rPr>
        <w:t>Moss Review</w:t>
      </w:r>
    </w:p>
    <w:p w14:paraId="43CD6AF6" w14:textId="5130FEC7" w:rsidR="0019669E" w:rsidRPr="0019669E" w:rsidRDefault="0019669E" w:rsidP="0023672B">
      <w:pPr>
        <w:pStyle w:val="ListBullet"/>
        <w:rPr>
          <w:lang w:val="en"/>
        </w:rPr>
      </w:pPr>
      <w:r w:rsidRPr="001C638D">
        <w:rPr>
          <w:lang w:val="en"/>
        </w:rPr>
        <w:t>progress of implementation of recommendations</w:t>
      </w:r>
      <w:r>
        <w:rPr>
          <w:lang w:val="en"/>
        </w:rPr>
        <w:t>.</w:t>
      </w:r>
    </w:p>
    <w:p w14:paraId="3A8D3B88" w14:textId="77777777" w:rsidR="00295785" w:rsidRPr="00AD1B41" w:rsidRDefault="00295785" w:rsidP="00295785">
      <w:pPr>
        <w:pStyle w:val="Heading3"/>
        <w:numPr>
          <w:ilvl w:val="0"/>
          <w:numId w:val="0"/>
        </w:numPr>
        <w:ind w:left="964" w:hanging="964"/>
      </w:pPr>
      <w:bookmarkStart w:id="6" w:name="_Toc58774277"/>
      <w:r w:rsidRPr="00AD1B41">
        <w:t>Out of scope</w:t>
      </w:r>
      <w:bookmarkEnd w:id="6"/>
    </w:p>
    <w:p w14:paraId="573193EA" w14:textId="2304B2FA" w:rsidR="00295785" w:rsidRPr="00AD1B41" w:rsidRDefault="00295785" w:rsidP="00295785">
      <w:pPr>
        <w:keepNext/>
        <w:keepLines/>
      </w:pPr>
      <w:r w:rsidRPr="00AD1B41">
        <w:t>This review d</w:t>
      </w:r>
      <w:r w:rsidR="00634CBD">
        <w:t>oes</w:t>
      </w:r>
      <w:r w:rsidRPr="00AD1B41">
        <w:t xml:space="preserve"> not examine:</w:t>
      </w:r>
    </w:p>
    <w:p w14:paraId="24046B1A" w14:textId="759B667C" w:rsidR="00DB489F" w:rsidRPr="00766C93" w:rsidRDefault="00DB489F" w:rsidP="0023672B">
      <w:pPr>
        <w:pStyle w:val="ListBullet"/>
      </w:pPr>
      <w:r w:rsidRPr="00766C93">
        <w:t xml:space="preserve">industry’s implementation of the </w:t>
      </w:r>
      <w:r w:rsidR="006932ED">
        <w:t>Moss Review</w:t>
      </w:r>
      <w:r w:rsidR="00C4358C" w:rsidRPr="00766C93">
        <w:t xml:space="preserve"> </w:t>
      </w:r>
      <w:r w:rsidRPr="00766C93">
        <w:t>recommendations</w:t>
      </w:r>
    </w:p>
    <w:p w14:paraId="6384F12B" w14:textId="7651A758" w:rsidR="00DB489F" w:rsidRDefault="00F01015" w:rsidP="0023672B">
      <w:pPr>
        <w:pStyle w:val="ListBullet"/>
      </w:pPr>
      <w:bookmarkStart w:id="7" w:name="_Hlk53410300"/>
      <w:r>
        <w:t xml:space="preserve">the </w:t>
      </w:r>
      <w:r w:rsidR="00DB489F">
        <w:t xml:space="preserve">Exporter Supply Chain Assurance System </w:t>
      </w:r>
      <w:bookmarkEnd w:id="7"/>
      <w:r>
        <w:t>or</w:t>
      </w:r>
      <w:r w:rsidR="00DB489F">
        <w:t xml:space="preserve"> Livestock Global Assurance Program</w:t>
      </w:r>
      <w:r w:rsidR="00634CBD">
        <w:t>, which will be</w:t>
      </w:r>
      <w:r w:rsidR="00764015">
        <w:t xml:space="preserve"> covered in a separate</w:t>
      </w:r>
      <w:r w:rsidR="0054359A">
        <w:t xml:space="preserve"> I</w:t>
      </w:r>
      <w:r w:rsidR="0054359A" w:rsidRPr="00F4249A">
        <w:t xml:space="preserve">nspector-General </w:t>
      </w:r>
      <w:r w:rsidR="0054359A">
        <w:t xml:space="preserve">of </w:t>
      </w:r>
      <w:r w:rsidR="0054359A" w:rsidRPr="00F4249A">
        <w:t>Live Animal Exports</w:t>
      </w:r>
      <w:r w:rsidR="00764015">
        <w:t xml:space="preserve"> review</w:t>
      </w:r>
    </w:p>
    <w:bookmarkStart w:id="8" w:name="_Toc22306642"/>
    <w:bookmarkStart w:id="9" w:name="_Toc22306644"/>
    <w:bookmarkEnd w:id="8"/>
    <w:bookmarkEnd w:id="9"/>
    <w:p w14:paraId="7E24F335" w14:textId="19DE9987" w:rsidR="00DB489F" w:rsidRDefault="003C39F7" w:rsidP="0023672B">
      <w:pPr>
        <w:pStyle w:val="ListBullet"/>
      </w:pPr>
      <w:r>
        <w:fldChar w:fldCharType="begin"/>
      </w:r>
      <w:r w:rsidR="0054359A">
        <w:instrText>HYPERLINK "https://www.iglae.gov.au/current-reviews"</w:instrText>
      </w:r>
      <w:r>
        <w:fldChar w:fldCharType="separate"/>
      </w:r>
      <w:r w:rsidR="0054359A">
        <w:rPr>
          <w:rStyle w:val="Hyperlink"/>
        </w:rPr>
        <w:t>Monitoring and reporting during livestock export voyages</w:t>
      </w:r>
      <w:r>
        <w:fldChar w:fldCharType="end"/>
      </w:r>
    </w:p>
    <w:p w14:paraId="6A932A5E" w14:textId="48420271" w:rsidR="00DB489F" w:rsidRPr="00EA6C4A" w:rsidRDefault="00DB489F" w:rsidP="0023672B">
      <w:pPr>
        <w:pStyle w:val="ListBullet"/>
      </w:pPr>
      <w:r>
        <w:t>the approved arrangements framework</w:t>
      </w:r>
      <w:r w:rsidR="0054359A">
        <w:t>, which will</w:t>
      </w:r>
      <w:r w:rsidR="00764015">
        <w:t xml:space="preserve"> be </w:t>
      </w:r>
      <w:r>
        <w:t xml:space="preserve">covered in a separate </w:t>
      </w:r>
      <w:r w:rsidR="00776E5C">
        <w:t>inspector</w:t>
      </w:r>
      <w:r w:rsidR="00750964">
        <w:t>-</w:t>
      </w:r>
      <w:r w:rsidR="00776E5C">
        <w:t>g</w:t>
      </w:r>
      <w:r w:rsidR="00750964">
        <w:t>eneral</w:t>
      </w:r>
      <w:r w:rsidR="00750964" w:rsidRPr="00EA6C4A">
        <w:t xml:space="preserve"> </w:t>
      </w:r>
      <w:r w:rsidRPr="00EA6C4A">
        <w:t>review</w:t>
      </w:r>
    </w:p>
    <w:p w14:paraId="75D341A7" w14:textId="67A918D0" w:rsidR="00DB489F" w:rsidRDefault="00DB489F" w:rsidP="00EA6C4A">
      <w:pPr>
        <w:pStyle w:val="ListBullet"/>
      </w:pPr>
      <w:r>
        <w:t xml:space="preserve">livestock export permit systems and </w:t>
      </w:r>
      <w:r w:rsidR="00943A9E">
        <w:t xml:space="preserve">health certificate </w:t>
      </w:r>
      <w:r>
        <w:t>processes</w:t>
      </w:r>
      <w:r w:rsidR="00E526E6">
        <w:t>, which will</w:t>
      </w:r>
      <w:r w:rsidR="00764015">
        <w:t xml:space="preserve"> be </w:t>
      </w:r>
      <w:r>
        <w:t xml:space="preserve">covered in a separate </w:t>
      </w:r>
      <w:r w:rsidR="00776E5C">
        <w:t>i</w:t>
      </w:r>
      <w:r w:rsidR="00750964">
        <w:t>nspector-</w:t>
      </w:r>
      <w:r w:rsidR="00776E5C">
        <w:t>g</w:t>
      </w:r>
      <w:r w:rsidR="00750964">
        <w:t>enera</w:t>
      </w:r>
      <w:r w:rsidR="0039214A">
        <w:t xml:space="preserve">l </w:t>
      </w:r>
      <w:r w:rsidRPr="00EA6C4A">
        <w:t>r</w:t>
      </w:r>
      <w:r>
        <w:t>eview</w:t>
      </w:r>
      <w:r w:rsidR="00E526E6">
        <w:t>.</w:t>
      </w:r>
    </w:p>
    <w:p w14:paraId="448AA00D" w14:textId="77777777" w:rsidR="00295785" w:rsidRPr="00AD1BD7" w:rsidRDefault="00295785" w:rsidP="00295785">
      <w:pPr>
        <w:pStyle w:val="Heading3"/>
        <w:numPr>
          <w:ilvl w:val="0"/>
          <w:numId w:val="0"/>
        </w:numPr>
        <w:tabs>
          <w:tab w:val="left" w:pos="5025"/>
        </w:tabs>
      </w:pPr>
      <w:bookmarkStart w:id="10" w:name="_Toc58774278"/>
      <w:r w:rsidRPr="00AD1BD7">
        <w:lastRenderedPageBreak/>
        <w:t>Methodology</w:t>
      </w:r>
      <w:bookmarkEnd w:id="10"/>
    </w:p>
    <w:p w14:paraId="152ADA48" w14:textId="63FF2C86" w:rsidR="00295785" w:rsidRPr="00310A95" w:rsidRDefault="00295785" w:rsidP="00295785">
      <w:r w:rsidRPr="00310A95">
        <w:t xml:space="preserve">During this review, the </w:t>
      </w:r>
      <w:r w:rsidR="00776E5C">
        <w:t>i</w:t>
      </w:r>
      <w:r w:rsidR="00750964">
        <w:t>nspector-</w:t>
      </w:r>
      <w:r w:rsidR="00776E5C">
        <w:t>g</w:t>
      </w:r>
      <w:r w:rsidR="00750964">
        <w:t>eneral</w:t>
      </w:r>
      <w:r w:rsidRPr="00310A95">
        <w:t>:</w:t>
      </w:r>
    </w:p>
    <w:p w14:paraId="2804C18B" w14:textId="77777777" w:rsidR="00295785" w:rsidRPr="00310A95" w:rsidRDefault="00295785" w:rsidP="00295785">
      <w:pPr>
        <w:pStyle w:val="ListBullet"/>
        <w:numPr>
          <w:ilvl w:val="0"/>
          <w:numId w:val="18"/>
        </w:numPr>
        <w:spacing w:before="120"/>
      </w:pPr>
      <w:r>
        <w:t>c</w:t>
      </w:r>
      <w:r w:rsidRPr="00310A95">
        <w:t>onducted an entry meeting with the department’s executives to</w:t>
      </w:r>
    </w:p>
    <w:p w14:paraId="5981AC9D" w14:textId="77777777" w:rsidR="00295785" w:rsidRPr="00310A95" w:rsidRDefault="00295785" w:rsidP="00295785">
      <w:pPr>
        <w:pStyle w:val="ListBullet2"/>
        <w:numPr>
          <w:ilvl w:val="1"/>
          <w:numId w:val="18"/>
        </w:numPr>
        <w:spacing w:before="120"/>
        <w:rPr>
          <w:rFonts w:asciiTheme="majorHAnsi" w:hAnsiTheme="majorHAnsi"/>
        </w:rPr>
      </w:pPr>
      <w:r>
        <w:rPr>
          <w:rFonts w:asciiTheme="majorHAnsi" w:hAnsiTheme="majorHAnsi"/>
        </w:rPr>
        <w:t>c</w:t>
      </w:r>
      <w:r w:rsidRPr="00310A95">
        <w:rPr>
          <w:rFonts w:asciiTheme="majorHAnsi" w:hAnsiTheme="majorHAnsi"/>
        </w:rPr>
        <w:t>ommunicate the review’s objectives and scope</w:t>
      </w:r>
    </w:p>
    <w:p w14:paraId="5EC7E8F0" w14:textId="77777777" w:rsidR="00295785" w:rsidRPr="00310A95" w:rsidRDefault="00295785" w:rsidP="00295785">
      <w:pPr>
        <w:pStyle w:val="ListBullet2"/>
        <w:numPr>
          <w:ilvl w:val="1"/>
          <w:numId w:val="18"/>
        </w:numPr>
        <w:spacing w:before="120"/>
        <w:rPr>
          <w:rFonts w:asciiTheme="majorHAnsi" w:hAnsiTheme="majorHAnsi"/>
        </w:rPr>
      </w:pPr>
      <w:r w:rsidRPr="00310A95">
        <w:rPr>
          <w:rFonts w:asciiTheme="majorHAnsi" w:hAnsiTheme="majorHAnsi"/>
        </w:rPr>
        <w:t>outline responsibilities</w:t>
      </w:r>
    </w:p>
    <w:p w14:paraId="36401A3A" w14:textId="77777777" w:rsidR="00295785" w:rsidRPr="00310A95" w:rsidRDefault="00295785" w:rsidP="00295785">
      <w:pPr>
        <w:pStyle w:val="ListBullet2"/>
        <w:numPr>
          <w:ilvl w:val="1"/>
          <w:numId w:val="18"/>
        </w:numPr>
        <w:spacing w:before="120"/>
        <w:rPr>
          <w:rFonts w:asciiTheme="majorHAnsi" w:hAnsiTheme="majorHAnsi"/>
        </w:rPr>
      </w:pPr>
      <w:r w:rsidRPr="00310A95">
        <w:rPr>
          <w:rFonts w:asciiTheme="majorHAnsi" w:hAnsiTheme="majorHAnsi"/>
        </w:rPr>
        <w:t>identify risks related to the review and any appropriate mitigation strategies</w:t>
      </w:r>
    </w:p>
    <w:p w14:paraId="543AF125" w14:textId="77777777" w:rsidR="00295785" w:rsidRDefault="00295785" w:rsidP="00295785">
      <w:pPr>
        <w:pStyle w:val="ListBullet"/>
        <w:numPr>
          <w:ilvl w:val="0"/>
          <w:numId w:val="18"/>
        </w:numPr>
        <w:spacing w:before="120"/>
      </w:pPr>
      <w:r>
        <w:t>c</w:t>
      </w:r>
      <w:r w:rsidRPr="00310A95">
        <w:t>onducted</w:t>
      </w:r>
      <w:r w:rsidR="00A017A3">
        <w:t xml:space="preserve"> p</w:t>
      </w:r>
      <w:r w:rsidRPr="00310A95">
        <w:t>hone meetings</w:t>
      </w:r>
      <w:r>
        <w:t xml:space="preserve"> and </w:t>
      </w:r>
      <w:r w:rsidRPr="00310A95">
        <w:t>interviews with key stakeholders</w:t>
      </w:r>
    </w:p>
    <w:p w14:paraId="45865F53" w14:textId="492333E8" w:rsidR="003B6461" w:rsidRPr="00310A95" w:rsidRDefault="00CD1EA5" w:rsidP="00295785">
      <w:pPr>
        <w:pStyle w:val="ListBullet"/>
        <w:numPr>
          <w:ilvl w:val="0"/>
          <w:numId w:val="18"/>
        </w:numPr>
        <w:spacing w:before="120"/>
      </w:pPr>
      <w:r>
        <w:t>met with Mr</w:t>
      </w:r>
      <w:r w:rsidR="003B6461">
        <w:t xml:space="preserve"> Philip Moss</w:t>
      </w:r>
      <w:r>
        <w:t xml:space="preserve"> AM</w:t>
      </w:r>
      <w:r w:rsidR="003B6461">
        <w:t xml:space="preserve"> and </w:t>
      </w:r>
      <w:r>
        <w:t xml:space="preserve">the Moss Review </w:t>
      </w:r>
      <w:r w:rsidR="003B6461">
        <w:t xml:space="preserve">secretariat team </w:t>
      </w:r>
      <w:r>
        <w:t>to discuss the intent</w:t>
      </w:r>
      <w:r w:rsidR="00DF6B70">
        <w:t xml:space="preserve"> of recommendations</w:t>
      </w:r>
    </w:p>
    <w:p w14:paraId="7441FC9E" w14:textId="77777777" w:rsidR="00295785" w:rsidRPr="00310A95" w:rsidRDefault="00295785" w:rsidP="00295785">
      <w:pPr>
        <w:pStyle w:val="ListBullet"/>
        <w:numPr>
          <w:ilvl w:val="0"/>
          <w:numId w:val="18"/>
        </w:numPr>
        <w:spacing w:before="120"/>
      </w:pPr>
      <w:r>
        <w:t>i</w:t>
      </w:r>
      <w:r w:rsidRPr="00310A95">
        <w:t>nvited submission</w:t>
      </w:r>
      <w:r>
        <w:t>s</w:t>
      </w:r>
      <w:r w:rsidRPr="00310A95">
        <w:t xml:space="preserve"> from stakeholders</w:t>
      </w:r>
    </w:p>
    <w:p w14:paraId="228533FC" w14:textId="77777777" w:rsidR="00295785" w:rsidRPr="00310A95" w:rsidRDefault="00295785" w:rsidP="00295785">
      <w:pPr>
        <w:pStyle w:val="ListBullet"/>
        <w:numPr>
          <w:ilvl w:val="0"/>
          <w:numId w:val="18"/>
        </w:numPr>
        <w:spacing w:before="120"/>
      </w:pPr>
      <w:r>
        <w:t>d</w:t>
      </w:r>
      <w:r w:rsidRPr="00310A95">
        <w:t>iscussed</w:t>
      </w:r>
      <w:r>
        <w:t xml:space="preserve"> preliminary data or </w:t>
      </w:r>
      <w:r w:rsidRPr="00310A95">
        <w:t>information requirements with relevant departmental officers and request</w:t>
      </w:r>
      <w:r>
        <w:t>ed</w:t>
      </w:r>
      <w:r w:rsidRPr="00310A95">
        <w:t xml:space="preserve"> data</w:t>
      </w:r>
      <w:r>
        <w:t xml:space="preserve"> or </w:t>
      </w:r>
      <w:r w:rsidRPr="00310A95">
        <w:t>information</w:t>
      </w:r>
    </w:p>
    <w:p w14:paraId="6B280450" w14:textId="77777777" w:rsidR="00295785" w:rsidRPr="00310A95" w:rsidRDefault="00295785" w:rsidP="00295785">
      <w:pPr>
        <w:pStyle w:val="ListBullet"/>
        <w:numPr>
          <w:ilvl w:val="0"/>
          <w:numId w:val="18"/>
        </w:numPr>
        <w:spacing w:before="120"/>
      </w:pPr>
      <w:r>
        <w:t>c</w:t>
      </w:r>
      <w:r w:rsidRPr="00310A95">
        <w:t>onducted a desktop audit of relevant department data and documentation</w:t>
      </w:r>
      <w:r>
        <w:t>, including</w:t>
      </w:r>
      <w:r w:rsidRPr="00310A95">
        <w:t xml:space="preserve"> instructional material, policies and communications material</w:t>
      </w:r>
    </w:p>
    <w:p w14:paraId="793A72FC" w14:textId="77777777" w:rsidR="00295785" w:rsidRPr="00310A95" w:rsidRDefault="00295785" w:rsidP="00295785">
      <w:pPr>
        <w:pStyle w:val="ListBullet"/>
        <w:numPr>
          <w:ilvl w:val="0"/>
          <w:numId w:val="18"/>
        </w:numPr>
        <w:spacing w:before="120"/>
      </w:pPr>
      <w:r>
        <w:t>c</w:t>
      </w:r>
      <w:r w:rsidRPr="00310A95">
        <w:t xml:space="preserve">onducted an exit meeting with </w:t>
      </w:r>
      <w:r>
        <w:t xml:space="preserve">the </w:t>
      </w:r>
      <w:r w:rsidRPr="00310A95">
        <w:t>department’s executives that</w:t>
      </w:r>
    </w:p>
    <w:p w14:paraId="525A2C8D" w14:textId="77777777" w:rsidR="00295785" w:rsidRPr="00310A95" w:rsidRDefault="00295785" w:rsidP="00295785">
      <w:pPr>
        <w:pStyle w:val="ListBullet2"/>
        <w:numPr>
          <w:ilvl w:val="1"/>
          <w:numId w:val="18"/>
        </w:numPr>
        <w:spacing w:before="120"/>
        <w:rPr>
          <w:rFonts w:asciiTheme="majorHAnsi" w:hAnsiTheme="majorHAnsi"/>
        </w:rPr>
      </w:pPr>
      <w:r w:rsidRPr="00310A95">
        <w:rPr>
          <w:rFonts w:asciiTheme="majorHAnsi" w:hAnsiTheme="majorHAnsi"/>
        </w:rPr>
        <w:t>provided an overview of initial review findings</w:t>
      </w:r>
    </w:p>
    <w:p w14:paraId="686BF290" w14:textId="77777777" w:rsidR="00295785" w:rsidRPr="00310A95" w:rsidRDefault="00295785" w:rsidP="00295785">
      <w:pPr>
        <w:pStyle w:val="ListBullet2"/>
        <w:numPr>
          <w:ilvl w:val="1"/>
          <w:numId w:val="18"/>
        </w:numPr>
        <w:spacing w:before="120"/>
        <w:rPr>
          <w:rFonts w:asciiTheme="majorHAnsi" w:hAnsiTheme="majorHAnsi"/>
        </w:rPr>
      </w:pPr>
      <w:r w:rsidRPr="00310A95">
        <w:rPr>
          <w:rFonts w:asciiTheme="majorHAnsi" w:hAnsiTheme="majorHAnsi"/>
        </w:rPr>
        <w:t xml:space="preserve">outlined the process of release and response </w:t>
      </w:r>
      <w:r>
        <w:rPr>
          <w:rFonts w:asciiTheme="majorHAnsi" w:hAnsiTheme="majorHAnsi"/>
        </w:rPr>
        <w:t xml:space="preserve">to the </w:t>
      </w:r>
      <w:r w:rsidRPr="00310A95">
        <w:rPr>
          <w:rFonts w:asciiTheme="majorHAnsi" w:hAnsiTheme="majorHAnsi"/>
        </w:rPr>
        <w:t>draft report</w:t>
      </w:r>
      <w:r>
        <w:rPr>
          <w:rFonts w:asciiTheme="majorHAnsi" w:hAnsiTheme="majorHAnsi"/>
        </w:rPr>
        <w:t>.</w:t>
      </w:r>
    </w:p>
    <w:p w14:paraId="10457A3F" w14:textId="1469002E" w:rsidR="00295785" w:rsidRPr="005A6148" w:rsidRDefault="00295785" w:rsidP="00295785">
      <w:pPr>
        <w:rPr>
          <w:lang w:eastAsia="ja-JP"/>
        </w:rPr>
      </w:pPr>
      <w:r w:rsidRPr="00C76A23">
        <w:rPr>
          <w:lang w:eastAsia="ja-JP"/>
        </w:rPr>
        <w:t xml:space="preserve">A draft review with key findings and recommendations was presented to the </w:t>
      </w:r>
      <w:r w:rsidR="00F01015">
        <w:rPr>
          <w:lang w:eastAsia="ja-JP"/>
        </w:rPr>
        <w:t xml:space="preserve">secretary of the </w:t>
      </w:r>
      <w:r w:rsidRPr="00C76A23">
        <w:rPr>
          <w:lang w:eastAsia="ja-JP"/>
        </w:rPr>
        <w:t xml:space="preserve">department for factual consideration. The </w:t>
      </w:r>
      <w:r w:rsidR="0056773D">
        <w:rPr>
          <w:lang w:eastAsia="ja-JP"/>
        </w:rPr>
        <w:t>s</w:t>
      </w:r>
      <w:r w:rsidRPr="00C76A23">
        <w:rPr>
          <w:lang w:eastAsia="ja-JP"/>
        </w:rPr>
        <w:t>ecretary</w:t>
      </w:r>
      <w:r w:rsidR="00F01015">
        <w:rPr>
          <w:lang w:eastAsia="ja-JP"/>
        </w:rPr>
        <w:t>’s</w:t>
      </w:r>
      <w:r w:rsidRPr="00C76A23">
        <w:rPr>
          <w:lang w:eastAsia="ja-JP"/>
        </w:rPr>
        <w:t xml:space="preserve"> response to </w:t>
      </w:r>
      <w:r w:rsidR="007C510B">
        <w:rPr>
          <w:lang w:eastAsia="ja-JP"/>
        </w:rPr>
        <w:t>the Inspector-General of Live Animal Exports</w:t>
      </w:r>
      <w:r w:rsidRPr="00C76A23">
        <w:rPr>
          <w:lang w:eastAsia="ja-JP"/>
        </w:rPr>
        <w:t xml:space="preserve"> recommendations is included in this report. </w:t>
      </w:r>
      <w:r w:rsidR="00E526E6">
        <w:rPr>
          <w:lang w:eastAsia="ja-JP"/>
        </w:rPr>
        <w:t xml:space="preserve">The </w:t>
      </w:r>
      <w:r w:rsidR="00DF085E">
        <w:rPr>
          <w:lang w:eastAsia="ja-JP"/>
        </w:rPr>
        <w:t>i</w:t>
      </w:r>
      <w:r w:rsidR="0099160C">
        <w:rPr>
          <w:lang w:eastAsia="ja-JP"/>
        </w:rPr>
        <w:t>nspector-</w:t>
      </w:r>
      <w:r w:rsidR="00DF085E">
        <w:rPr>
          <w:lang w:eastAsia="ja-JP"/>
        </w:rPr>
        <w:t>g</w:t>
      </w:r>
      <w:r w:rsidR="0099160C" w:rsidRPr="007F3558">
        <w:rPr>
          <w:lang w:eastAsia="ja-JP"/>
        </w:rPr>
        <w:t>eneral</w:t>
      </w:r>
      <w:r w:rsidR="00E526E6" w:rsidRPr="007F3558">
        <w:rPr>
          <w:lang w:eastAsia="ja-JP"/>
        </w:rPr>
        <w:t xml:space="preserve"> provided</w:t>
      </w:r>
      <w:r w:rsidRPr="007F3558">
        <w:rPr>
          <w:lang w:eastAsia="ja-JP"/>
        </w:rPr>
        <w:t xml:space="preserve"> </w:t>
      </w:r>
      <w:r w:rsidR="00E526E6" w:rsidRPr="007F3558">
        <w:rPr>
          <w:lang w:eastAsia="ja-JP"/>
        </w:rPr>
        <w:t xml:space="preserve">the </w:t>
      </w:r>
      <w:r w:rsidRPr="007F3558">
        <w:rPr>
          <w:lang w:eastAsia="ja-JP"/>
        </w:rPr>
        <w:t>final report</w:t>
      </w:r>
      <w:r w:rsidR="00764015" w:rsidRPr="007F3558">
        <w:rPr>
          <w:lang w:eastAsia="ja-JP"/>
        </w:rPr>
        <w:t xml:space="preserve"> </w:t>
      </w:r>
      <w:r w:rsidRPr="007F3558">
        <w:rPr>
          <w:lang w:eastAsia="ja-JP"/>
        </w:rPr>
        <w:t xml:space="preserve">to the </w:t>
      </w:r>
      <w:r w:rsidR="007F3558" w:rsidRPr="007F3558">
        <w:rPr>
          <w:lang w:eastAsia="ja-JP"/>
        </w:rPr>
        <w:t>Minister for Agriculture, Drought and Emergency Management</w:t>
      </w:r>
      <w:r w:rsidR="007F3558" w:rsidRPr="0061346A" w:rsidDel="007F3558">
        <w:rPr>
          <w:lang w:eastAsia="ja-JP"/>
        </w:rPr>
        <w:t xml:space="preserve"> </w:t>
      </w:r>
      <w:r w:rsidRPr="007F3558">
        <w:rPr>
          <w:lang w:eastAsia="ja-JP"/>
        </w:rPr>
        <w:t>before publi</w:t>
      </w:r>
      <w:r w:rsidR="00E526E6" w:rsidRPr="007F3558">
        <w:rPr>
          <w:lang w:eastAsia="ja-JP"/>
        </w:rPr>
        <w:t>cation</w:t>
      </w:r>
      <w:r w:rsidR="00E526E6" w:rsidRPr="00446399">
        <w:rPr>
          <w:lang w:eastAsia="ja-JP"/>
        </w:rPr>
        <w:t xml:space="preserve"> </w:t>
      </w:r>
      <w:r w:rsidRPr="00446399">
        <w:rPr>
          <w:lang w:eastAsia="ja-JP"/>
        </w:rPr>
        <w:t>on the</w:t>
      </w:r>
      <w:r w:rsidR="00E526E6" w:rsidRPr="00446399">
        <w:rPr>
          <w:lang w:eastAsia="ja-JP"/>
        </w:rPr>
        <w:t xml:space="preserve"> </w:t>
      </w:r>
      <w:hyperlink r:id="rId16" w:history="1">
        <w:r w:rsidR="00713DE5">
          <w:rPr>
            <w:rStyle w:val="Hyperlink"/>
            <w:lang w:eastAsia="ja-JP"/>
          </w:rPr>
          <w:t>Inspector</w:t>
        </w:r>
        <w:r w:rsidR="009A0FC9">
          <w:rPr>
            <w:rStyle w:val="Hyperlink"/>
            <w:lang w:eastAsia="ja-JP"/>
          </w:rPr>
          <w:t>-General</w:t>
        </w:r>
        <w:r w:rsidR="00DF085E">
          <w:rPr>
            <w:rStyle w:val="Hyperlink"/>
            <w:lang w:eastAsia="ja-JP"/>
          </w:rPr>
          <w:t xml:space="preserve"> of Live Animal Export</w:t>
        </w:r>
        <w:r w:rsidR="0039214A">
          <w:rPr>
            <w:rStyle w:val="Hyperlink"/>
            <w:lang w:eastAsia="ja-JP"/>
          </w:rPr>
          <w:t>’</w:t>
        </w:r>
        <w:r w:rsidR="009A0FC9">
          <w:rPr>
            <w:rStyle w:val="Hyperlink"/>
            <w:lang w:eastAsia="ja-JP"/>
          </w:rPr>
          <w:t>s</w:t>
        </w:r>
        <w:r w:rsidR="009A0FC9" w:rsidRPr="0061346A">
          <w:rPr>
            <w:rStyle w:val="Hyperlink"/>
            <w:lang w:eastAsia="ja-JP"/>
          </w:rPr>
          <w:t xml:space="preserve"> reviews</w:t>
        </w:r>
      </w:hyperlink>
      <w:r w:rsidR="00E526E6" w:rsidRPr="00446399">
        <w:rPr>
          <w:lang w:eastAsia="ja-JP"/>
        </w:rPr>
        <w:t xml:space="preserve"> </w:t>
      </w:r>
      <w:r w:rsidR="00446399" w:rsidRPr="0061346A">
        <w:rPr>
          <w:lang w:eastAsia="ja-JP"/>
        </w:rPr>
        <w:t>web</w:t>
      </w:r>
      <w:r w:rsidR="00E526E6" w:rsidRPr="00446399">
        <w:rPr>
          <w:lang w:eastAsia="ja-JP"/>
        </w:rPr>
        <w:t>page</w:t>
      </w:r>
      <w:r w:rsidRPr="00446399">
        <w:rPr>
          <w:lang w:eastAsia="ja-JP"/>
        </w:rPr>
        <w:t>.</w:t>
      </w:r>
    </w:p>
    <w:p w14:paraId="546F86FF" w14:textId="77777777" w:rsidR="00295785" w:rsidRDefault="00295785" w:rsidP="00295785">
      <w:pPr>
        <w:pStyle w:val="Heading2"/>
        <w:numPr>
          <w:ilvl w:val="0"/>
          <w:numId w:val="0"/>
        </w:numPr>
        <w:ind w:left="720" w:hanging="720"/>
      </w:pPr>
      <w:bookmarkStart w:id="11" w:name="_Toc58774279"/>
      <w:r>
        <w:lastRenderedPageBreak/>
        <w:t>Summary</w:t>
      </w:r>
      <w:bookmarkEnd w:id="11"/>
    </w:p>
    <w:p w14:paraId="6A0AA6A4" w14:textId="3BABDE3E" w:rsidR="00FD6373" w:rsidRDefault="00EC7E7A" w:rsidP="00FD6373">
      <w:r>
        <w:t xml:space="preserve">The </w:t>
      </w:r>
      <w:hyperlink r:id="rId17" w:history="1">
        <w:r w:rsidRPr="00B96E8D">
          <w:rPr>
            <w:rStyle w:val="Hyperlink"/>
          </w:rPr>
          <w:t>Review of the Regulatory Capability and Culture of the Department of Agriculture and Water Resources in the Regulation of Live Animal Exports</w:t>
        </w:r>
      </w:hyperlink>
      <w:r w:rsidRPr="00B96E8D">
        <w:t xml:space="preserve"> </w:t>
      </w:r>
      <w:r>
        <w:t xml:space="preserve">(Moss Review) was published on </w:t>
      </w:r>
      <w:r w:rsidR="00FD6373">
        <w:t>27 September 2018</w:t>
      </w:r>
      <w:r>
        <w:t>.</w:t>
      </w:r>
      <w:r w:rsidR="00FD6373">
        <w:t xml:space="preserve"> </w:t>
      </w:r>
      <w:r>
        <w:t>T</w:t>
      </w:r>
      <w:r w:rsidR="00FD6373">
        <w:t xml:space="preserve">he Moss </w:t>
      </w:r>
      <w:r w:rsidR="00487E5F">
        <w:t xml:space="preserve">Review </w:t>
      </w:r>
      <w:r w:rsidR="00FD6373">
        <w:t xml:space="preserve">was published with 31 recommendations to improve the </w:t>
      </w:r>
      <w:r w:rsidR="00511FB0">
        <w:t>D</w:t>
      </w:r>
      <w:r w:rsidR="00FD6373">
        <w:t>epartment</w:t>
      </w:r>
      <w:r w:rsidR="00511FB0">
        <w:t xml:space="preserve"> of Agriculture, Water and the </w:t>
      </w:r>
      <w:r w:rsidR="00A65624">
        <w:t>Environment’s regulatory</w:t>
      </w:r>
      <w:r w:rsidR="00FD6373">
        <w:t xml:space="preserve"> capability and culture (</w:t>
      </w:r>
      <w:r w:rsidR="00FD6373" w:rsidRPr="001D71C2">
        <w:t>Moss 2018</w:t>
      </w:r>
      <w:r w:rsidR="00FD6373">
        <w:t>). The department supported 22 recommendations in full and 8 in principle. Recommendation 21 did not have a response.</w:t>
      </w:r>
    </w:p>
    <w:p w14:paraId="281C7A4C" w14:textId="76AB66D2" w:rsidR="00FE540F" w:rsidRDefault="00FD6373" w:rsidP="00A65624">
      <w:r>
        <w:t>In October 2019 the department published an implementation progress report (</w:t>
      </w:r>
      <w:r w:rsidRPr="001D71C2">
        <w:t>Department of Agriculture 2019</w:t>
      </w:r>
      <w:r>
        <w:t xml:space="preserve">). The report described progress made against all 31 recommendations, indicating that 15 were completed, 11 were in progress and 5 were </w:t>
      </w:r>
      <w:r w:rsidRPr="00543CF6">
        <w:t xml:space="preserve">ongoing. </w:t>
      </w:r>
      <w:r w:rsidR="00FE540F">
        <w:t xml:space="preserve">The </w:t>
      </w:r>
      <w:r w:rsidR="00DF085E">
        <w:t>i</w:t>
      </w:r>
      <w:r w:rsidR="00FE540F">
        <w:t>nspector-</w:t>
      </w:r>
      <w:r w:rsidR="00DF085E">
        <w:t>g</w:t>
      </w:r>
      <w:r w:rsidR="00FE540F">
        <w:t xml:space="preserve">eneral considers that the status definitions used by the department do not adequately reflect the need for ongoing maintenance and continuous improvement that was intended by the Moss </w:t>
      </w:r>
      <w:r w:rsidR="00396985">
        <w:t>R</w:t>
      </w:r>
      <w:r w:rsidR="00FE540F">
        <w:t xml:space="preserve">eview recommendations. </w:t>
      </w:r>
      <w:r w:rsidR="00396985">
        <w:t>T</w:t>
      </w:r>
      <w:r w:rsidR="00FE540F">
        <w:t xml:space="preserve">he </w:t>
      </w:r>
      <w:r w:rsidR="00DF085E">
        <w:t>i</w:t>
      </w:r>
      <w:r w:rsidR="00FE540F">
        <w:t>nspector-</w:t>
      </w:r>
      <w:r w:rsidR="00DF085E">
        <w:t>g</w:t>
      </w:r>
      <w:r w:rsidR="00FE540F">
        <w:t>eneral recommends</w:t>
      </w:r>
      <w:r w:rsidR="00FE540F" w:rsidRPr="00CA7D5F">
        <w:t xml:space="preserve"> </w:t>
      </w:r>
      <w:r w:rsidR="00FE540F">
        <w:t>the department use the following</w:t>
      </w:r>
      <w:r w:rsidR="00FE540F" w:rsidRPr="00CA7D5F">
        <w:t xml:space="preserve"> status definitions</w:t>
      </w:r>
      <w:r w:rsidR="00FE540F" w:rsidRPr="00146C82">
        <w:t>:</w:t>
      </w:r>
    </w:p>
    <w:p w14:paraId="678C8B2D" w14:textId="77777777" w:rsidR="00FE540F" w:rsidRPr="00D9667D" w:rsidRDefault="00FE540F" w:rsidP="00A65624">
      <w:pPr>
        <w:pStyle w:val="ListBullet"/>
      </w:pPr>
      <w:r w:rsidRPr="00D9667D">
        <w:t>In progress</w:t>
      </w:r>
    </w:p>
    <w:p w14:paraId="15C427D3" w14:textId="77777777" w:rsidR="00FE540F" w:rsidRPr="00D9667D" w:rsidRDefault="00FE540F" w:rsidP="00A65624">
      <w:pPr>
        <w:pStyle w:val="ListBullet"/>
      </w:pPr>
      <w:r w:rsidRPr="00D9667D">
        <w:t>In progress (on hold)</w:t>
      </w:r>
    </w:p>
    <w:p w14:paraId="21388167" w14:textId="122D20BC" w:rsidR="00FE540F" w:rsidRDefault="00FE540F" w:rsidP="00A65624">
      <w:pPr>
        <w:pStyle w:val="ListBullet"/>
      </w:pPr>
      <w:r w:rsidRPr="008D3B40">
        <w:t>Implemented – ongoing</w:t>
      </w:r>
    </w:p>
    <w:p w14:paraId="04960F22" w14:textId="513A322C" w:rsidR="00150230" w:rsidRDefault="00FE540F" w:rsidP="00FE540F">
      <w:pPr>
        <w:pStyle w:val="ListBullet"/>
        <w:numPr>
          <w:ilvl w:val="0"/>
          <w:numId w:val="0"/>
        </w:numPr>
      </w:pPr>
      <w:r>
        <w:t xml:space="preserve">Using these definitions the </w:t>
      </w:r>
      <w:r w:rsidR="00DF085E">
        <w:t>i</w:t>
      </w:r>
      <w:r>
        <w:t>nspector-</w:t>
      </w:r>
      <w:r w:rsidR="00DF085E">
        <w:t>g</w:t>
      </w:r>
      <w:r>
        <w:t xml:space="preserve">eneral considers that </w:t>
      </w:r>
      <w:r w:rsidR="00884156" w:rsidRPr="005A3680">
        <w:t>10</w:t>
      </w:r>
      <w:r w:rsidRPr="005A3680">
        <w:t xml:space="preserve"> recommendations are</w:t>
      </w:r>
      <w:r w:rsidR="00DB4EB1">
        <w:t xml:space="preserve"> in</w:t>
      </w:r>
      <w:r w:rsidRPr="005A3680">
        <w:t xml:space="preserve"> progress, </w:t>
      </w:r>
      <w:r w:rsidR="00884156" w:rsidRPr="005A3680">
        <w:t xml:space="preserve">3 </w:t>
      </w:r>
      <w:r w:rsidRPr="005A3680">
        <w:t xml:space="preserve">are </w:t>
      </w:r>
      <w:r w:rsidR="00DB4EB1">
        <w:t>i</w:t>
      </w:r>
      <w:r w:rsidRPr="005A3680">
        <w:t xml:space="preserve">n progress (on hold), and </w:t>
      </w:r>
      <w:r w:rsidR="00884156" w:rsidRPr="005A3680">
        <w:t xml:space="preserve">18 </w:t>
      </w:r>
      <w:r w:rsidRPr="005A3680">
        <w:t xml:space="preserve">are </w:t>
      </w:r>
      <w:r w:rsidR="00EB2F4F">
        <w:t>i</w:t>
      </w:r>
      <w:r w:rsidRPr="005A3680">
        <w:t>mplemented – ongoing</w:t>
      </w:r>
      <w:r>
        <w:t>.</w:t>
      </w:r>
    </w:p>
    <w:p w14:paraId="2180DA52" w14:textId="316D436A" w:rsidR="00D26278" w:rsidRDefault="00FE540F" w:rsidP="00FE540F">
      <w:pPr>
        <w:pStyle w:val="ListBullet"/>
        <w:numPr>
          <w:ilvl w:val="0"/>
          <w:numId w:val="0"/>
        </w:numPr>
      </w:pPr>
      <w:r>
        <w:t xml:space="preserve">In the </w:t>
      </w:r>
      <w:r w:rsidR="00487E5F">
        <w:t xml:space="preserve">2 </w:t>
      </w:r>
      <w:r>
        <w:t xml:space="preserve">years since the Moss </w:t>
      </w:r>
      <w:r w:rsidR="00487E5F">
        <w:t xml:space="preserve">Review </w:t>
      </w:r>
      <w:r>
        <w:t xml:space="preserve">was published the department has made </w:t>
      </w:r>
      <w:r w:rsidR="00EC7E7A">
        <w:t xml:space="preserve">significant </w:t>
      </w:r>
      <w:r w:rsidR="00312951">
        <w:t xml:space="preserve">progress in a number </w:t>
      </w:r>
      <w:r w:rsidR="00150230">
        <w:t>o</w:t>
      </w:r>
      <w:r>
        <w:t xml:space="preserve">f </w:t>
      </w:r>
      <w:r w:rsidR="005A3680">
        <w:t xml:space="preserve">framework and foundational </w:t>
      </w:r>
      <w:r w:rsidR="00D30217">
        <w:t>areas</w:t>
      </w:r>
      <w:r w:rsidR="00312951">
        <w:t>. This includes</w:t>
      </w:r>
      <w:r w:rsidR="00150230">
        <w:t>:</w:t>
      </w:r>
      <w:r w:rsidR="00312951">
        <w:t xml:space="preserve"> </w:t>
      </w:r>
    </w:p>
    <w:p w14:paraId="3F4EA46F" w14:textId="77777777" w:rsidR="00D26278" w:rsidRPr="00D26278" w:rsidRDefault="00150230" w:rsidP="00D26278">
      <w:pPr>
        <w:pStyle w:val="ListBullet"/>
      </w:pPr>
      <w:r w:rsidRPr="00D26278">
        <w:t>engagement with stakeholders</w:t>
      </w:r>
    </w:p>
    <w:p w14:paraId="7ABDE3D9" w14:textId="5A2E90AF" w:rsidR="00D26278" w:rsidRPr="00D26278" w:rsidRDefault="00312951" w:rsidP="00D26278">
      <w:pPr>
        <w:pStyle w:val="ListBullet"/>
      </w:pPr>
      <w:r w:rsidRPr="00D26278">
        <w:t>review of the Australian Standards for the E</w:t>
      </w:r>
      <w:r w:rsidR="00150230" w:rsidRPr="00D26278">
        <w:t>xport of Livestock</w:t>
      </w:r>
    </w:p>
    <w:p w14:paraId="4383EBC0" w14:textId="7C7D1A75" w:rsidR="00D26278" w:rsidRPr="00D26278" w:rsidRDefault="00312951" w:rsidP="00D26278">
      <w:pPr>
        <w:pStyle w:val="ListBullet"/>
      </w:pPr>
      <w:r w:rsidRPr="00D26278">
        <w:t xml:space="preserve">the establishment of the Animal Welfare </w:t>
      </w:r>
      <w:r w:rsidR="00150230" w:rsidRPr="00D26278">
        <w:t>Branch</w:t>
      </w:r>
    </w:p>
    <w:p w14:paraId="5F908AAE" w14:textId="01134D46" w:rsidR="00D26278" w:rsidRPr="00D26278" w:rsidRDefault="00312951" w:rsidP="00D26278">
      <w:pPr>
        <w:pStyle w:val="ListBullet"/>
      </w:pPr>
      <w:r w:rsidRPr="00D26278">
        <w:t>a range of improvements to risk mitigation for animal health and welfare outcomes prior to, and dur</w:t>
      </w:r>
      <w:r w:rsidR="00150230" w:rsidRPr="00D26278">
        <w:t>ing, export consignments</w:t>
      </w:r>
    </w:p>
    <w:p w14:paraId="52A4979D" w14:textId="5250B002" w:rsidR="00D26278" w:rsidRPr="00D26278" w:rsidRDefault="00312951" w:rsidP="00D26278">
      <w:pPr>
        <w:pStyle w:val="ListBullet"/>
      </w:pPr>
      <w:r w:rsidRPr="00D26278">
        <w:t>respon</w:t>
      </w:r>
      <w:r w:rsidR="00150230" w:rsidRPr="00D26278">
        <w:t>siveness to third party reports</w:t>
      </w:r>
    </w:p>
    <w:p w14:paraId="66F1FF10" w14:textId="77A6BA94" w:rsidR="00D26278" w:rsidRPr="00D26278" w:rsidRDefault="00312951" w:rsidP="00D26278">
      <w:pPr>
        <w:pStyle w:val="ListBullet"/>
      </w:pPr>
      <w:r w:rsidRPr="00D26278">
        <w:t>tr</w:t>
      </w:r>
      <w:r w:rsidR="00150230" w:rsidRPr="00D26278">
        <w:t>ansparency through publications</w:t>
      </w:r>
    </w:p>
    <w:p w14:paraId="026BAAB6" w14:textId="47C00602" w:rsidR="00D26278" w:rsidRPr="00D26278" w:rsidRDefault="00EC7E7A" w:rsidP="00FC21F4">
      <w:pPr>
        <w:pStyle w:val="ListBullet"/>
      </w:pPr>
      <w:r>
        <w:t xml:space="preserve">implementation of </w:t>
      </w:r>
      <w:r w:rsidR="00150230" w:rsidRPr="00D26278">
        <w:t>the</w:t>
      </w:r>
      <w:r w:rsidR="00FC21F4" w:rsidRPr="00FC21F4">
        <w:t xml:space="preserve"> Australian Meat and Live‑stock Industry (Prohibition of Export of Sheep by Sea to Middle East—Northern Summer) Order 2020</w:t>
      </w:r>
    </w:p>
    <w:p w14:paraId="7A059BEB" w14:textId="2305E8AE" w:rsidR="00D26278" w:rsidRPr="00D26278" w:rsidRDefault="00150230" w:rsidP="00D26278">
      <w:pPr>
        <w:pStyle w:val="ListBullet"/>
      </w:pPr>
      <w:r w:rsidRPr="00BF01D0">
        <w:t>improved skills and training</w:t>
      </w:r>
      <w:r w:rsidR="00743D4B">
        <w:t xml:space="preserve"> of staff</w:t>
      </w:r>
    </w:p>
    <w:p w14:paraId="684D78A7" w14:textId="7D495FC6" w:rsidR="00FE540F" w:rsidRPr="00D26278" w:rsidRDefault="00150230" w:rsidP="00D26278">
      <w:pPr>
        <w:pStyle w:val="ListBullet"/>
      </w:pPr>
      <w:r w:rsidRPr="00BF01D0">
        <w:t xml:space="preserve">relationships and coordination within the department, </w:t>
      </w:r>
      <w:r w:rsidRPr="00D26278">
        <w:t>A</w:t>
      </w:r>
      <w:r w:rsidR="00EB2F4F">
        <w:t xml:space="preserve">ustralian </w:t>
      </w:r>
      <w:r w:rsidRPr="00D26278">
        <w:t>M</w:t>
      </w:r>
      <w:r w:rsidR="00EB2F4F">
        <w:t xml:space="preserve">aritime </w:t>
      </w:r>
      <w:r w:rsidRPr="00D26278">
        <w:t>S</w:t>
      </w:r>
      <w:r w:rsidR="00EB2F4F">
        <w:t xml:space="preserve">afety </w:t>
      </w:r>
      <w:r w:rsidRPr="00D26278">
        <w:t>A</w:t>
      </w:r>
      <w:r w:rsidR="00EB2F4F">
        <w:t>uthority</w:t>
      </w:r>
      <w:r w:rsidRPr="00D26278">
        <w:t>, and other</w:t>
      </w:r>
      <w:r w:rsidR="00EB2F4F">
        <w:t xml:space="preserve"> government</w:t>
      </w:r>
      <w:r w:rsidRPr="00D26278">
        <w:t xml:space="preserve"> jurisdictions.</w:t>
      </w:r>
    </w:p>
    <w:p w14:paraId="169CB3BC" w14:textId="6C7C465D" w:rsidR="00150230" w:rsidRDefault="00150230" w:rsidP="00FE540F">
      <w:pPr>
        <w:pStyle w:val="ListBullet"/>
        <w:numPr>
          <w:ilvl w:val="0"/>
          <w:numId w:val="0"/>
        </w:numPr>
      </w:pPr>
      <w:r>
        <w:t xml:space="preserve">However, there is significant further work to be done to realise the full intent of the Moss </w:t>
      </w:r>
      <w:r w:rsidR="00BF01D0">
        <w:t xml:space="preserve">Review </w:t>
      </w:r>
      <w:r>
        <w:t>recommendations and to move towards being a best practice regulator for live</w:t>
      </w:r>
      <w:r w:rsidR="00D94ADE">
        <w:t>stock</w:t>
      </w:r>
      <w:r>
        <w:t xml:space="preserve"> animal exports. </w:t>
      </w:r>
      <w:r w:rsidR="00EC7E7A">
        <w:t>O</w:t>
      </w:r>
      <w:r>
        <w:t>bservations and recommendations</w:t>
      </w:r>
      <w:r w:rsidR="005A2A40">
        <w:t xml:space="preserve"> </w:t>
      </w:r>
      <w:r w:rsidR="00EC7E7A">
        <w:t xml:space="preserve">in this report focus </w:t>
      </w:r>
      <w:r w:rsidR="005A2A40">
        <w:t xml:space="preserve">on </w:t>
      </w:r>
      <w:r w:rsidR="00BF01D0">
        <w:t xml:space="preserve">3 </w:t>
      </w:r>
      <w:r w:rsidR="005A2A40">
        <w:t>challenges</w:t>
      </w:r>
      <w:r>
        <w:t xml:space="preserve"> for the department that </w:t>
      </w:r>
      <w:r w:rsidR="005A2A40">
        <w:t>are interdependent</w:t>
      </w:r>
      <w:r w:rsidR="00EB2F4F">
        <w:t xml:space="preserve"> </w:t>
      </w:r>
      <w:r>
        <w:t>and cut across a number of Moss Review recommendations.</w:t>
      </w:r>
    </w:p>
    <w:p w14:paraId="1E42C7DC" w14:textId="545719B9" w:rsidR="00DC3BC4" w:rsidRDefault="00DC3BC4" w:rsidP="00DC3BC4">
      <w:pPr>
        <w:pStyle w:val="ListBullet"/>
        <w:numPr>
          <w:ilvl w:val="0"/>
          <w:numId w:val="0"/>
        </w:numPr>
      </w:pPr>
      <w:r>
        <w:lastRenderedPageBreak/>
        <w:t xml:space="preserve">Firstly, the department’s </w:t>
      </w:r>
      <w:r w:rsidRPr="00BF5C2D">
        <w:t>IT systems do not</w:t>
      </w:r>
      <w:r>
        <w:t>:</w:t>
      </w:r>
    </w:p>
    <w:p w14:paraId="02FA16FF" w14:textId="77777777" w:rsidR="00DC3BC4" w:rsidRPr="00E42B01" w:rsidRDefault="00DC3BC4" w:rsidP="00DC3BC4">
      <w:pPr>
        <w:pStyle w:val="ListBullet"/>
      </w:pPr>
      <w:r w:rsidRPr="00E42B01">
        <w:t>support efficient operations</w:t>
      </w:r>
    </w:p>
    <w:p w14:paraId="4F50E078" w14:textId="77777777" w:rsidR="00DC3BC4" w:rsidRPr="00BF5C2D" w:rsidRDefault="00DC3BC4" w:rsidP="00DC3BC4">
      <w:pPr>
        <w:pStyle w:val="ListBullet"/>
      </w:pPr>
      <w:r w:rsidRPr="00BF5C2D">
        <w:t>provide for streamlined industry interaction</w:t>
      </w:r>
    </w:p>
    <w:p w14:paraId="6CC03F66" w14:textId="77777777" w:rsidR="00DC3BC4" w:rsidRDefault="00DC3BC4" w:rsidP="00DC3BC4">
      <w:pPr>
        <w:pStyle w:val="ListBullet"/>
      </w:pPr>
      <w:r w:rsidRPr="00BF5C2D">
        <w:t>support data and intelligence analytics</w:t>
      </w:r>
      <w:r>
        <w:t xml:space="preserve"> to</w:t>
      </w:r>
    </w:p>
    <w:p w14:paraId="264D1ACD" w14:textId="77777777" w:rsidR="00DC3BC4" w:rsidRDefault="00DC3BC4" w:rsidP="00DC3BC4">
      <w:pPr>
        <w:pStyle w:val="ListBullet2"/>
      </w:pPr>
      <w:r w:rsidRPr="00BF5C2D">
        <w:t>target regulatory effort</w:t>
      </w:r>
    </w:p>
    <w:p w14:paraId="7709EFEE" w14:textId="77777777" w:rsidR="00DC3BC4" w:rsidRDefault="00DC3BC4" w:rsidP="00DC3BC4">
      <w:pPr>
        <w:pStyle w:val="ListBullet2"/>
      </w:pPr>
      <w:r w:rsidRPr="00BF5C2D">
        <w:t>contribute to the body of knowledge on risk mitigation to animal health and welfare</w:t>
      </w:r>
      <w:r>
        <w:t>.</w:t>
      </w:r>
    </w:p>
    <w:p w14:paraId="2247FBD6" w14:textId="73EEDD0D" w:rsidR="0097091D" w:rsidRDefault="00DC3BC4" w:rsidP="00FE540F">
      <w:pPr>
        <w:pStyle w:val="ListBullet"/>
        <w:numPr>
          <w:ilvl w:val="0"/>
          <w:numId w:val="0"/>
        </w:numPr>
      </w:pPr>
      <w:r>
        <w:t>This report</w:t>
      </w:r>
      <w:r w:rsidR="00150230">
        <w:t xml:space="preserve"> makes a number of observatio</w:t>
      </w:r>
      <w:r w:rsidR="00150230" w:rsidRPr="005A3F2D">
        <w:t xml:space="preserve">ns and recommendations aimed at improving </w:t>
      </w:r>
      <w:r>
        <w:t>the department’s IT systems</w:t>
      </w:r>
      <w:r w:rsidR="0097091D" w:rsidRPr="005A3F2D">
        <w:t xml:space="preserve">. The </w:t>
      </w:r>
      <w:r w:rsidR="00962C6F" w:rsidRPr="003F6A12">
        <w:t>Australian G</w:t>
      </w:r>
      <w:r w:rsidR="0097091D" w:rsidRPr="003F6A12">
        <w:t xml:space="preserve">overnment’s </w:t>
      </w:r>
      <w:r w:rsidR="00EC7B72" w:rsidRPr="003F6A12">
        <w:t>2020</w:t>
      </w:r>
      <w:r w:rsidR="00EC7B72" w:rsidRPr="003F6A12">
        <w:softHyphen/>
      </w:r>
      <w:r w:rsidR="00EC7B72" w:rsidRPr="003F6A12">
        <w:softHyphen/>
      </w:r>
      <w:r w:rsidR="00EC7B72" w:rsidRPr="003F6A12">
        <w:softHyphen/>
        <w:t>–21</w:t>
      </w:r>
      <w:r w:rsidR="00A07E6A" w:rsidRPr="003F6A12">
        <w:t xml:space="preserve"> </w:t>
      </w:r>
      <w:r w:rsidR="00EC7B72" w:rsidRPr="005A3F2D">
        <w:t>budget announcement</w:t>
      </w:r>
      <w:r w:rsidR="00A801C7" w:rsidRPr="005A3F2D">
        <w:t xml:space="preserve"> </w:t>
      </w:r>
      <w:r w:rsidR="00EC7B72" w:rsidRPr="005A3F2D">
        <w:t>‘</w:t>
      </w:r>
      <w:r w:rsidR="00057FFA">
        <w:t xml:space="preserve">The </w:t>
      </w:r>
      <w:r w:rsidR="00EC7B72" w:rsidRPr="00EC7B72">
        <w:t>Busting</w:t>
      </w:r>
      <w:r w:rsidR="003F6A12">
        <w:t xml:space="preserve"> </w:t>
      </w:r>
      <w:r w:rsidR="00EC7B72" w:rsidRPr="00EC7B72">
        <w:t>Congestion for Agricultural Exporters package</w:t>
      </w:r>
      <w:r w:rsidR="00EC7B72">
        <w:t>’</w:t>
      </w:r>
      <w:r w:rsidR="00EC7B72" w:rsidRPr="00EC7B72">
        <w:t>, worth over $328.4 million over four years</w:t>
      </w:r>
      <w:r w:rsidR="00EC7B72">
        <w:t xml:space="preserve"> </w:t>
      </w:r>
      <w:r w:rsidR="00A947B8">
        <w:t>(</w:t>
      </w:r>
      <w:r w:rsidR="005A3F2D">
        <w:t>Media release</w:t>
      </w:r>
      <w:r w:rsidR="00A947B8">
        <w:t xml:space="preserve"> 2020)</w:t>
      </w:r>
      <w:r w:rsidR="00D53629">
        <w:t xml:space="preserve">, </w:t>
      </w:r>
      <w:r w:rsidR="0097091D">
        <w:t>provides a substantial opportunity for these systems to be improved in a way which can underpin modern regulatory practice.</w:t>
      </w:r>
    </w:p>
    <w:p w14:paraId="44AC285E" w14:textId="0F27D68F" w:rsidR="0097091D" w:rsidRDefault="005A2A40" w:rsidP="00FE540F">
      <w:pPr>
        <w:pStyle w:val="ListBullet"/>
        <w:numPr>
          <w:ilvl w:val="0"/>
          <w:numId w:val="0"/>
        </w:numPr>
      </w:pPr>
      <w:r>
        <w:t>Secondly, t</w:t>
      </w:r>
      <w:r w:rsidR="0097091D">
        <w:t xml:space="preserve">he </w:t>
      </w:r>
      <w:r w:rsidR="00FA6CD6">
        <w:t>l</w:t>
      </w:r>
      <w:r w:rsidR="0097091D">
        <w:t>ive</w:t>
      </w:r>
      <w:r w:rsidR="0011518F">
        <w:t>stock</w:t>
      </w:r>
      <w:r w:rsidR="0097091D">
        <w:t xml:space="preserve"> </w:t>
      </w:r>
      <w:r w:rsidR="00FA6CD6">
        <w:t>a</w:t>
      </w:r>
      <w:r w:rsidR="0097091D">
        <w:t xml:space="preserve">nimal </w:t>
      </w:r>
      <w:r w:rsidR="00FA6CD6">
        <w:t>e</w:t>
      </w:r>
      <w:r w:rsidR="0097091D">
        <w:t>xports regulatory function is still ‘in transition’ with the dispersed functional model of the department presenting a major challenge to delivering an integrated regulatory model.</w:t>
      </w:r>
      <w:r w:rsidR="00FA31ED">
        <w:t xml:space="preserve"> The </w:t>
      </w:r>
      <w:r w:rsidR="00DF085E">
        <w:t>i</w:t>
      </w:r>
      <w:r w:rsidR="00FA31ED">
        <w:t>nspector-</w:t>
      </w:r>
      <w:r w:rsidR="00DF085E">
        <w:t>g</w:t>
      </w:r>
      <w:r w:rsidR="00FA31ED">
        <w:t xml:space="preserve">eneral uses a case study of the 2017 </w:t>
      </w:r>
      <w:r w:rsidR="00BB3DAC">
        <w:t xml:space="preserve">MV </w:t>
      </w:r>
      <w:r w:rsidR="00FA31ED" w:rsidRPr="00BB3DAC">
        <w:rPr>
          <w:rStyle w:val="Emphasis"/>
        </w:rPr>
        <w:t>Awassi Express</w:t>
      </w:r>
      <w:r w:rsidR="00FA31ED">
        <w:t xml:space="preserve"> incident to illustrate the importance of this. </w:t>
      </w:r>
    </w:p>
    <w:p w14:paraId="1EB4FB77" w14:textId="306A6635" w:rsidR="00FA31ED" w:rsidRDefault="005A2A40" w:rsidP="00FE540F">
      <w:pPr>
        <w:pStyle w:val="ListBullet"/>
        <w:numPr>
          <w:ilvl w:val="0"/>
          <w:numId w:val="0"/>
        </w:numPr>
      </w:pPr>
      <w:r>
        <w:t xml:space="preserve">Thirdly, </w:t>
      </w:r>
      <w:r w:rsidR="0063513D">
        <w:t xml:space="preserve">the department needs to improve </w:t>
      </w:r>
      <w:r w:rsidR="000D2A88">
        <w:t xml:space="preserve">important aspects </w:t>
      </w:r>
      <w:r w:rsidR="0063513D">
        <w:t xml:space="preserve">of its regulatory practice. </w:t>
      </w:r>
      <w:r w:rsidR="000D2A88">
        <w:t>Effective c</w:t>
      </w:r>
      <w:r w:rsidR="0097091D">
        <w:t>ompliance monitoring</w:t>
      </w:r>
      <w:r w:rsidR="00A4222F">
        <w:t>,</w:t>
      </w:r>
      <w:r w:rsidR="0097091D">
        <w:t xml:space="preserve"> using a proportionate response model to address non-compliance and poor performance</w:t>
      </w:r>
      <w:r w:rsidR="000D2A88">
        <w:t>, are key elements of good regulatory practice.</w:t>
      </w:r>
      <w:r w:rsidR="0097091D">
        <w:t xml:space="preserve"> </w:t>
      </w:r>
      <w:r w:rsidR="0063513D">
        <w:t>The department appears to determine the severity of an individual non-compliance in isolation from other factors. This is a reductive approach that risks not correcting underlying and ongoing unacceptable performance.</w:t>
      </w:r>
    </w:p>
    <w:p w14:paraId="57B38AF6" w14:textId="724C9424" w:rsidR="00295785" w:rsidRDefault="00C62511" w:rsidP="00BF01D0">
      <w:pPr>
        <w:pStyle w:val="ListBullet"/>
        <w:numPr>
          <w:ilvl w:val="0"/>
          <w:numId w:val="0"/>
        </w:numPr>
      </w:pPr>
      <w:r>
        <w:t xml:space="preserve">Balancing regulatory objectives is a critical element of regulatory decision-making. </w:t>
      </w:r>
      <w:r w:rsidR="005A2A40">
        <w:t xml:space="preserve">The </w:t>
      </w:r>
      <w:r w:rsidR="00DF085E">
        <w:t>i</w:t>
      </w:r>
      <w:r w:rsidR="005A2A40">
        <w:t>nspector-</w:t>
      </w:r>
      <w:r w:rsidR="00DF085E">
        <w:t>g</w:t>
      </w:r>
      <w:r w:rsidR="005A2A40">
        <w:t xml:space="preserve">eneral has used a case study of the </w:t>
      </w:r>
      <w:r w:rsidR="00E770E6">
        <w:t xml:space="preserve">June 2020 </w:t>
      </w:r>
      <w:r w:rsidR="005A2A40">
        <w:t xml:space="preserve">Al Kuwait exemption decisions to illustrate the importance in regulatory practice of </w:t>
      </w:r>
      <w:r w:rsidR="004642F5">
        <w:t>considering broader community trust and confidence. This means applying rigour to both the decision making itself, as well as t</w:t>
      </w:r>
      <w:r w:rsidR="000D2A88">
        <w:t>o the</w:t>
      </w:r>
      <w:r w:rsidR="004642F5">
        <w:t xml:space="preserve"> communication and publication</w:t>
      </w:r>
      <w:r w:rsidR="000D2A88">
        <w:t xml:space="preserve"> of decisions</w:t>
      </w:r>
      <w:r w:rsidR="004642F5">
        <w:t>. While not all stakeholders will agree with any particular decision</w:t>
      </w:r>
      <w:r w:rsidR="004763C6">
        <w:t>, good</w:t>
      </w:r>
      <w:r w:rsidR="00A4222F">
        <w:t xml:space="preserve"> regulatory practice involves </w:t>
      </w:r>
      <w:r w:rsidR="004642F5">
        <w:t>reducing the risk of perceptions of disproportionate weighting between competing or conflicting objectives</w:t>
      </w:r>
      <w:r w:rsidR="00A4222F">
        <w:t>.</w:t>
      </w:r>
    </w:p>
    <w:p w14:paraId="1DE6F408" w14:textId="582ED9C4" w:rsidR="00295785" w:rsidRDefault="00314023" w:rsidP="00AE2842">
      <w:pPr>
        <w:pStyle w:val="Heading3"/>
        <w:numPr>
          <w:ilvl w:val="0"/>
          <w:numId w:val="0"/>
        </w:numPr>
      </w:pPr>
      <w:bookmarkStart w:id="12" w:name="_Recommendations_1"/>
      <w:bookmarkStart w:id="13" w:name="_Toc58774280"/>
      <w:bookmarkEnd w:id="0"/>
      <w:bookmarkEnd w:id="12"/>
      <w:r w:rsidRPr="00981F15">
        <w:t>I</w:t>
      </w:r>
      <w:r w:rsidR="007534BE">
        <w:t>nspector-</w:t>
      </w:r>
      <w:r w:rsidR="00E746D9">
        <w:t>g</w:t>
      </w:r>
      <w:r w:rsidR="007534BE">
        <w:t>eneral</w:t>
      </w:r>
      <w:r w:rsidRPr="00981F15">
        <w:t xml:space="preserve"> r</w:t>
      </w:r>
      <w:r w:rsidR="00295785" w:rsidRPr="00446399">
        <w:t>ecommendations</w:t>
      </w:r>
      <w:bookmarkEnd w:id="13"/>
    </w:p>
    <w:p w14:paraId="0B31319A" w14:textId="77777777" w:rsidR="000D4DE9" w:rsidRPr="005B598F" w:rsidRDefault="000D4DE9" w:rsidP="000D4DE9">
      <w:pPr>
        <w:pStyle w:val="BoxHeading"/>
      </w:pPr>
      <w:r w:rsidRPr="005B598F">
        <w:t>Inspector-general recommendation 1</w:t>
      </w:r>
    </w:p>
    <w:p w14:paraId="79489624" w14:textId="77777777" w:rsidR="000D4DE9" w:rsidRPr="005B598F" w:rsidRDefault="000D4DE9" w:rsidP="000D4DE9">
      <w:pPr>
        <w:pStyle w:val="BoxText"/>
      </w:pPr>
      <w:r w:rsidRPr="005B598F">
        <w:t xml:space="preserve">The department should change from a </w:t>
      </w:r>
      <w:r>
        <w:t>3-</w:t>
      </w:r>
      <w:r w:rsidRPr="005B598F">
        <w:t>year review of the Australian Standards for the Export of Livestock to an annual update of the standards</w:t>
      </w:r>
      <w:r>
        <w:t>. The review should</w:t>
      </w:r>
      <w:r w:rsidRPr="007904A1">
        <w:t xml:space="preserve"> address e</w:t>
      </w:r>
      <w:r w:rsidRPr="005B598F">
        <w:t xml:space="preserve">merging issues and advances in scientific knowledge and technology </w:t>
      </w:r>
      <w:r>
        <w:t>associated with</w:t>
      </w:r>
      <w:r w:rsidRPr="005B598F">
        <w:t xml:space="preserve"> improved animal welfare outcomes.</w:t>
      </w:r>
    </w:p>
    <w:p w14:paraId="6EA2767A" w14:textId="5AACA70D" w:rsidR="00EC7795" w:rsidRDefault="00295785" w:rsidP="00981F15">
      <w:pPr>
        <w:pStyle w:val="BoxText"/>
        <w:rPr>
          <w:rStyle w:val="Strong"/>
        </w:rPr>
      </w:pPr>
      <w:r w:rsidRPr="00EA6C4A">
        <w:rPr>
          <w:rStyle w:val="Strong"/>
        </w:rPr>
        <w:t>Department’s response</w:t>
      </w:r>
      <w:r w:rsidR="00EC7795">
        <w:rPr>
          <w:rStyle w:val="Strong"/>
        </w:rPr>
        <w:t>: Supported</w:t>
      </w:r>
    </w:p>
    <w:p w14:paraId="2C9172D8" w14:textId="25CE2C20" w:rsidR="00EC7795" w:rsidRPr="00EC7795" w:rsidRDefault="00EC7795" w:rsidP="00EC7795">
      <w:pPr>
        <w:pStyle w:val="BoxText"/>
        <w:rPr>
          <w:rStyle w:val="Strong"/>
          <w:b w:val="0"/>
          <w:bCs w:val="0"/>
        </w:rPr>
      </w:pPr>
      <w:r w:rsidRPr="00EC7795">
        <w:rPr>
          <w:rStyle w:val="Strong"/>
          <w:b w:val="0"/>
          <w:bCs w:val="0"/>
        </w:rPr>
        <w:t>The department is planning the next update of the ASEL for November 2021. This and future updates will include a progressive, issues based approach in close collaboration with stakeholders. The department will assess whether annual updates are effective at addressing known and emerging issues and advances in animal welfare science and technology sufficiently, or whether alternative review processes are required in some circumstances.</w:t>
      </w:r>
    </w:p>
    <w:p w14:paraId="33A74DDF" w14:textId="77777777" w:rsidR="004968CB" w:rsidRDefault="004968CB" w:rsidP="00446399">
      <w:pPr>
        <w:rPr>
          <w:highlight w:val="yellow"/>
        </w:rPr>
      </w:pPr>
    </w:p>
    <w:p w14:paraId="1690DC27" w14:textId="35624A1A" w:rsidR="000936A9" w:rsidRPr="000D4DE9" w:rsidRDefault="00D847B2" w:rsidP="000D4DE9">
      <w:pPr>
        <w:pStyle w:val="BoxHeading"/>
      </w:pPr>
      <w:r w:rsidRPr="000D4DE9">
        <w:lastRenderedPageBreak/>
        <w:t>Inspector-</w:t>
      </w:r>
      <w:r w:rsidR="00E746D9" w:rsidRPr="000D4DE9">
        <w:t>g</w:t>
      </w:r>
      <w:r w:rsidRPr="000D4DE9">
        <w:t>eneral r</w:t>
      </w:r>
      <w:r w:rsidR="000936A9" w:rsidRPr="000D4DE9">
        <w:t>ecommendation 2</w:t>
      </w:r>
    </w:p>
    <w:p w14:paraId="00423BDC" w14:textId="24971D98" w:rsidR="00D10BA6" w:rsidRDefault="000936A9" w:rsidP="00D10BA6">
      <w:pPr>
        <w:pStyle w:val="BoxText"/>
      </w:pPr>
      <w:r w:rsidRPr="00244EA9">
        <w:t>The department should ensure that the investment in improved IT infrastructure</w:t>
      </w:r>
      <w:r w:rsidR="00386E6F" w:rsidRPr="00244EA9">
        <w:t xml:space="preserve"> announced in the 2020</w:t>
      </w:r>
      <w:r w:rsidR="000D2A70">
        <w:t>– </w:t>
      </w:r>
      <w:r w:rsidR="00386E6F" w:rsidRPr="00244EA9">
        <w:t>21 budget</w:t>
      </w:r>
      <w:r w:rsidRPr="00244EA9">
        <w:t>:</w:t>
      </w:r>
    </w:p>
    <w:p w14:paraId="01249DB5" w14:textId="07FF26D7" w:rsidR="000936A9" w:rsidRPr="00244EA9" w:rsidRDefault="000936A9" w:rsidP="00D10BA6">
      <w:pPr>
        <w:pStyle w:val="BoxTextBullet"/>
      </w:pPr>
      <w:r w:rsidRPr="00244EA9">
        <w:t>delivers improved regulatory operations and knowledge on animal health and welfare through effective use of data and information analysis</w:t>
      </w:r>
    </w:p>
    <w:p w14:paraId="6481B634" w14:textId="62129A80" w:rsidR="000D4DE9" w:rsidRDefault="000D4DE9" w:rsidP="000D4DE9">
      <w:pPr>
        <w:pStyle w:val="BoxTextBullet"/>
      </w:pPr>
      <w:r w:rsidRPr="005B598F">
        <w:t xml:space="preserve">enables disparate parts of the department to </w:t>
      </w:r>
      <w:r>
        <w:t>work</w:t>
      </w:r>
      <w:r w:rsidRPr="005B598F">
        <w:t xml:space="preserve"> more effectively through real-time access to all relevant records, policy, guidance and procedures</w:t>
      </w:r>
      <w:r w:rsidRPr="00244EA9">
        <w:t xml:space="preserve"> </w:t>
      </w:r>
    </w:p>
    <w:p w14:paraId="73A4284D" w14:textId="5F37D084" w:rsidR="000936A9" w:rsidRPr="00244EA9" w:rsidRDefault="000936A9" w:rsidP="000D4DE9">
      <w:pPr>
        <w:pStyle w:val="BoxTextBullet"/>
      </w:pPr>
      <w:r w:rsidRPr="00244EA9">
        <w:t xml:space="preserve">reduces delays and duplication for industry through streamlined application processes, </w:t>
      </w:r>
      <w:proofErr w:type="gramStart"/>
      <w:r w:rsidRPr="00244EA9">
        <w:t>decisions</w:t>
      </w:r>
      <w:proofErr w:type="gramEnd"/>
      <w:r w:rsidRPr="00244EA9">
        <w:t xml:space="preserve"> and reporting.</w:t>
      </w:r>
    </w:p>
    <w:p w14:paraId="7BAB04FC" w14:textId="48456532" w:rsidR="000936A9" w:rsidRDefault="000936A9" w:rsidP="000936A9">
      <w:pPr>
        <w:pStyle w:val="BoxText"/>
        <w:rPr>
          <w:rStyle w:val="Strong"/>
        </w:rPr>
      </w:pPr>
      <w:r w:rsidRPr="00EA6C4A">
        <w:rPr>
          <w:rStyle w:val="Strong"/>
        </w:rPr>
        <w:t>Department’s response</w:t>
      </w:r>
      <w:r w:rsidR="00EC7795">
        <w:rPr>
          <w:rStyle w:val="Strong"/>
        </w:rPr>
        <w:t>: Supported</w:t>
      </w:r>
    </w:p>
    <w:p w14:paraId="6A724842" w14:textId="77777777" w:rsidR="00EC7795" w:rsidRPr="00EC7795" w:rsidRDefault="00EC7795" w:rsidP="00EC7795">
      <w:pPr>
        <w:pStyle w:val="BoxText"/>
        <w:rPr>
          <w:rStyle w:val="Strong"/>
          <w:b w:val="0"/>
          <w:bCs w:val="0"/>
        </w:rPr>
      </w:pPr>
      <w:r w:rsidRPr="00EC7795">
        <w:rPr>
          <w:rStyle w:val="Strong"/>
          <w:b w:val="0"/>
          <w:bCs w:val="0"/>
        </w:rPr>
        <w:t>The government has funded the department to make significant investments in new digital and data products and services, building on the advances in analytics delivered in Biosecurity focussed business areas. Central to this is an approach which starts by carefully examining and understanding the needs of users and regulators in the export supply chain and will co design services with them that reflect their needs.</w:t>
      </w:r>
    </w:p>
    <w:p w14:paraId="3D4B0B94" w14:textId="77777777" w:rsidR="00EC7795" w:rsidRPr="00EC7795" w:rsidRDefault="00EC7795" w:rsidP="00EC7795">
      <w:pPr>
        <w:pStyle w:val="BoxText"/>
        <w:rPr>
          <w:rStyle w:val="Strong"/>
          <w:b w:val="0"/>
          <w:bCs w:val="0"/>
        </w:rPr>
      </w:pPr>
      <w:r w:rsidRPr="00EC7795">
        <w:rPr>
          <w:rStyle w:val="Strong"/>
          <w:b w:val="0"/>
          <w:bCs w:val="0"/>
        </w:rPr>
        <w:t>In Biosecurity, the department has successfully deployed a Pest and Disease Repository which will be used as a template model for pulling together disparate and unjoined elements of information and records. By example Pest and Disease Registry brings together 42 different data sets and reconciles them through an overarching workflow tool that allows users to access the information they need to get their job done.</w:t>
      </w:r>
    </w:p>
    <w:p w14:paraId="0308136C" w14:textId="77777777" w:rsidR="00EC7795" w:rsidRPr="00EC7795" w:rsidRDefault="00EC7795" w:rsidP="00EC7795">
      <w:pPr>
        <w:pStyle w:val="BoxText"/>
        <w:rPr>
          <w:rStyle w:val="Strong"/>
          <w:b w:val="0"/>
          <w:bCs w:val="0"/>
        </w:rPr>
      </w:pPr>
      <w:r w:rsidRPr="00EC7795">
        <w:rPr>
          <w:rStyle w:val="Strong"/>
          <w:b w:val="0"/>
          <w:bCs w:val="0"/>
        </w:rPr>
        <w:t>A further part of the department's planned activities is to carefully analyse current processes for all parts of our export responsibilities, including decision making and reporting, in order to identify opportunities to digitise, automate and remove non value added steps in the process.</w:t>
      </w:r>
    </w:p>
    <w:p w14:paraId="29480B67" w14:textId="67DDC3DD" w:rsidR="00EC7795" w:rsidRPr="00EC7795" w:rsidRDefault="00EC7795" w:rsidP="00EC7795">
      <w:pPr>
        <w:pStyle w:val="BoxText"/>
        <w:rPr>
          <w:rStyle w:val="Strong"/>
          <w:b w:val="0"/>
          <w:bCs w:val="0"/>
        </w:rPr>
      </w:pPr>
      <w:r w:rsidRPr="00EC7795">
        <w:rPr>
          <w:rStyle w:val="Strong"/>
          <w:b w:val="0"/>
          <w:bCs w:val="0"/>
        </w:rPr>
        <w:t>There will be a strong drive to look at doing things differently, and employ innovative digital technology to get the task or outcome done. We will also consider 3rd parties, including the industry and exporters themselves, who might be able to do it better, provided the department can unambiguously assure itself that regulatory and compliance needs are being met.</w:t>
      </w:r>
    </w:p>
    <w:p w14:paraId="00000E87" w14:textId="77777777" w:rsidR="009127BF" w:rsidRDefault="009127BF" w:rsidP="00295785">
      <w:pPr>
        <w:pStyle w:val="ListNumber"/>
        <w:numPr>
          <w:ilvl w:val="0"/>
          <w:numId w:val="0"/>
        </w:numPr>
        <w:ind w:left="425" w:hanging="425"/>
      </w:pPr>
    </w:p>
    <w:p w14:paraId="76A7A2C4" w14:textId="3A0D0B14" w:rsidR="000936A9" w:rsidRPr="000D4DE9" w:rsidRDefault="00D847B2" w:rsidP="000D4DE9">
      <w:pPr>
        <w:pStyle w:val="BoxHeading"/>
      </w:pPr>
      <w:r w:rsidRPr="000D4DE9">
        <w:t>Inspector-</w:t>
      </w:r>
      <w:r w:rsidR="00E746D9" w:rsidRPr="000D4DE9">
        <w:t>g</w:t>
      </w:r>
      <w:r w:rsidRPr="000D4DE9">
        <w:t>eneral r</w:t>
      </w:r>
      <w:r w:rsidR="000936A9" w:rsidRPr="000D4DE9">
        <w:t>ecommendation 3</w:t>
      </w:r>
    </w:p>
    <w:p w14:paraId="2A9C94EE" w14:textId="2B0D91F3" w:rsidR="00B45B49" w:rsidRPr="000D4DE9" w:rsidRDefault="00B45B49" w:rsidP="000D4DE9">
      <w:pPr>
        <w:pStyle w:val="BoxText"/>
      </w:pPr>
      <w:r w:rsidRPr="000D4DE9">
        <w:t>The department should ensure it has detailed business process maps</w:t>
      </w:r>
      <w:r w:rsidR="00386E6F" w:rsidRPr="000D4DE9">
        <w:t xml:space="preserve"> for all </w:t>
      </w:r>
      <w:r w:rsidR="004A1378" w:rsidRPr="000D4DE9">
        <w:t>l</w:t>
      </w:r>
      <w:r w:rsidR="00386E6F" w:rsidRPr="000D4DE9">
        <w:t xml:space="preserve">ive </w:t>
      </w:r>
      <w:r w:rsidR="004A1378" w:rsidRPr="000D4DE9">
        <w:t>a</w:t>
      </w:r>
      <w:r w:rsidR="00386E6F" w:rsidRPr="000D4DE9">
        <w:t xml:space="preserve">nimal </w:t>
      </w:r>
      <w:r w:rsidR="004A1378" w:rsidRPr="000D4DE9">
        <w:t>e</w:t>
      </w:r>
      <w:r w:rsidR="00386E6F" w:rsidRPr="000D4DE9">
        <w:t>xport regulatory processes</w:t>
      </w:r>
      <w:r w:rsidRPr="000D4DE9">
        <w:t xml:space="preserve"> to </w:t>
      </w:r>
      <w:r w:rsidR="00386E6F" w:rsidRPr="000D4DE9">
        <w:t xml:space="preserve">support </w:t>
      </w:r>
      <w:r w:rsidRPr="000D4DE9">
        <w:t>improve</w:t>
      </w:r>
      <w:r w:rsidR="00386E6F" w:rsidRPr="000D4DE9">
        <w:t>d</w:t>
      </w:r>
      <w:r w:rsidRPr="000D4DE9">
        <w:t xml:space="preserve"> regulatory </w:t>
      </w:r>
      <w:r w:rsidR="00386E6F" w:rsidRPr="000D4DE9">
        <w:t xml:space="preserve">effectiveness and </w:t>
      </w:r>
      <w:r w:rsidRPr="000D4DE9">
        <w:t>efficiency</w:t>
      </w:r>
      <w:r w:rsidR="00386E6F" w:rsidRPr="000D4DE9">
        <w:t>, and to inform optimal IT investment in the systems that support these processes.</w:t>
      </w:r>
      <w:r w:rsidRPr="000D4DE9">
        <w:t xml:space="preserve"> </w:t>
      </w:r>
    </w:p>
    <w:p w14:paraId="3F4EAD0F" w14:textId="14391E4E" w:rsidR="000936A9" w:rsidRDefault="000936A9" w:rsidP="000936A9">
      <w:pPr>
        <w:pStyle w:val="BoxText"/>
        <w:rPr>
          <w:rStyle w:val="Strong"/>
        </w:rPr>
      </w:pPr>
      <w:r w:rsidRPr="00B7620F">
        <w:rPr>
          <w:rStyle w:val="Strong"/>
        </w:rPr>
        <w:t>Department’s response</w:t>
      </w:r>
      <w:r w:rsidR="00EC7795">
        <w:rPr>
          <w:rStyle w:val="Strong"/>
        </w:rPr>
        <w:t>: Supported</w:t>
      </w:r>
    </w:p>
    <w:p w14:paraId="6E4C64A2" w14:textId="65D825FE" w:rsidR="00EC7795" w:rsidRPr="00EC7795" w:rsidRDefault="00EC7795" w:rsidP="00EC7795">
      <w:pPr>
        <w:pStyle w:val="BoxText"/>
        <w:rPr>
          <w:rStyle w:val="Strong"/>
          <w:b w:val="0"/>
          <w:bCs w:val="0"/>
        </w:rPr>
      </w:pPr>
      <w:r w:rsidRPr="00EC7795">
        <w:rPr>
          <w:rStyle w:val="Strong"/>
          <w:b w:val="0"/>
          <w:bCs w:val="0"/>
        </w:rPr>
        <w:t xml:space="preserve">To support the introduction of the </w:t>
      </w:r>
      <w:r w:rsidRPr="00E614DC">
        <w:rPr>
          <w:rStyle w:val="Strong"/>
          <w:b w:val="0"/>
          <w:bCs w:val="0"/>
          <w:i/>
        </w:rPr>
        <w:t>Export Control Act 2020</w:t>
      </w:r>
      <w:r w:rsidRPr="00EC7795">
        <w:rPr>
          <w:rStyle w:val="Strong"/>
          <w:b w:val="0"/>
          <w:bCs w:val="0"/>
        </w:rPr>
        <w:t>, the department is reviewing its business and regulatory decision making processes to ensure they continue to align with legislative requirements. This work will provide a sound platform for a new and comprehensive business process mapping exercise to support the development of improved IT infrastructure, as announced in the 2020 21 budget. Business process mapping will be undertaken in collaboration with the Trade Reform Division and is expected to be finalised in 2021. The department will take a user co design approach in developing new IT systems, including any external interfaces that may be used by industry.</w:t>
      </w:r>
    </w:p>
    <w:p w14:paraId="1F2E5A6E" w14:textId="77777777" w:rsidR="00915322" w:rsidRDefault="00915322" w:rsidP="00295785">
      <w:pPr>
        <w:pStyle w:val="ListNumber"/>
        <w:numPr>
          <w:ilvl w:val="0"/>
          <w:numId w:val="0"/>
        </w:numPr>
        <w:ind w:left="425" w:hanging="425"/>
      </w:pPr>
    </w:p>
    <w:p w14:paraId="682ED025" w14:textId="56D2DDCF" w:rsidR="000936A9" w:rsidRPr="000D4DE9" w:rsidRDefault="00D847B2" w:rsidP="000D4DE9">
      <w:pPr>
        <w:pStyle w:val="BoxHeading"/>
      </w:pPr>
      <w:r w:rsidRPr="000D4DE9">
        <w:lastRenderedPageBreak/>
        <w:t>Inspector-</w:t>
      </w:r>
      <w:r w:rsidR="00E746D9" w:rsidRPr="000D4DE9">
        <w:t>g</w:t>
      </w:r>
      <w:r w:rsidRPr="000D4DE9">
        <w:t>eneral r</w:t>
      </w:r>
      <w:r w:rsidR="000936A9" w:rsidRPr="000D4DE9">
        <w:t>ecommendation 4</w:t>
      </w:r>
    </w:p>
    <w:p w14:paraId="33B705E0" w14:textId="27911E37" w:rsidR="00915322" w:rsidRPr="000D2A70" w:rsidRDefault="00B45B49" w:rsidP="000D4DE9">
      <w:pPr>
        <w:pStyle w:val="BoxText"/>
      </w:pPr>
      <w:r w:rsidRPr="000D2A70">
        <w:t xml:space="preserve">That the department address the challenge that dispersed regulatory functions pose to improved regulatory practice. This could </w:t>
      </w:r>
      <w:r w:rsidR="00915322" w:rsidRPr="000D2A70">
        <w:t>include:</w:t>
      </w:r>
    </w:p>
    <w:p w14:paraId="703E5620" w14:textId="63E48AF7" w:rsidR="00915322" w:rsidRPr="000D2A70" w:rsidRDefault="00915322" w:rsidP="000D4DE9">
      <w:pPr>
        <w:pStyle w:val="BoxTextBullet"/>
      </w:pPr>
      <w:r w:rsidRPr="000D2A70">
        <w:t>accelerating</w:t>
      </w:r>
      <w:r w:rsidR="00B45B49" w:rsidRPr="000D2A70">
        <w:t xml:space="preserve"> the expansion of the role of the Principal Regulatory Officer consistent with its original </w:t>
      </w:r>
      <w:r w:rsidRPr="000D2A70">
        <w:t>intent</w:t>
      </w:r>
    </w:p>
    <w:p w14:paraId="4504F6A5" w14:textId="227B0110" w:rsidR="00B45B49" w:rsidRPr="000D2A70" w:rsidRDefault="00915322" w:rsidP="000D4DE9">
      <w:pPr>
        <w:pStyle w:val="BoxTextBullet"/>
      </w:pPr>
      <w:r w:rsidRPr="000D2A70">
        <w:t>secondments</w:t>
      </w:r>
      <w:r w:rsidR="00B45B49" w:rsidRPr="000D2A70">
        <w:t xml:space="preserve"> and placements of staff from relevant functional regulatory areas into the </w:t>
      </w:r>
      <w:r w:rsidR="00736C27" w:rsidRPr="000D2A70">
        <w:t>Plant and Live Animal Exports Division</w:t>
      </w:r>
    </w:p>
    <w:p w14:paraId="6A76EE08" w14:textId="7B4739CE" w:rsidR="00B45B49" w:rsidRPr="000D2A70" w:rsidRDefault="00B45B49" w:rsidP="000D4DE9">
      <w:pPr>
        <w:pStyle w:val="BoxTextBullet"/>
      </w:pPr>
      <w:r w:rsidRPr="000D2A70">
        <w:t xml:space="preserve">instituting cross-functional multidisciplinary projects at strategic and operational levels as a </w:t>
      </w:r>
      <w:r w:rsidR="00386E6F" w:rsidRPr="000D2A70">
        <w:t>business-as-usual</w:t>
      </w:r>
      <w:r w:rsidRPr="000D2A70">
        <w:t xml:space="preserve"> approach to compliance monitoring.</w:t>
      </w:r>
    </w:p>
    <w:p w14:paraId="12C96313" w14:textId="02E820F4" w:rsidR="000936A9" w:rsidRDefault="000936A9" w:rsidP="000936A9">
      <w:pPr>
        <w:pStyle w:val="BoxText"/>
        <w:rPr>
          <w:rStyle w:val="Strong"/>
        </w:rPr>
      </w:pPr>
      <w:r w:rsidRPr="00B7620F">
        <w:rPr>
          <w:rStyle w:val="Strong"/>
        </w:rPr>
        <w:t>Department’s response</w:t>
      </w:r>
      <w:r w:rsidR="00EC7795">
        <w:rPr>
          <w:rStyle w:val="Strong"/>
        </w:rPr>
        <w:t>: Support in principle</w:t>
      </w:r>
    </w:p>
    <w:p w14:paraId="4DD6B254" w14:textId="77777777" w:rsidR="00EC7795" w:rsidRPr="00EC7795" w:rsidRDefault="00EC7795" w:rsidP="00EC7795">
      <w:pPr>
        <w:pStyle w:val="BoxText"/>
        <w:rPr>
          <w:rStyle w:val="Strong"/>
          <w:b w:val="0"/>
          <w:bCs w:val="0"/>
        </w:rPr>
      </w:pPr>
      <w:r w:rsidRPr="00EC7795">
        <w:rPr>
          <w:rStyle w:val="Strong"/>
          <w:b w:val="0"/>
          <w:bCs w:val="0"/>
        </w:rPr>
        <w:t>The issue of potential disconnect across regulatory areas of the department and how to address is a key issue for the department. The Future Department Review released in November notes "At times, there is a disconnect between the policy and operational parts of the department, which leads to unclear lines of responsibility and potentially impractical policies."</w:t>
      </w:r>
    </w:p>
    <w:p w14:paraId="40843148" w14:textId="77777777" w:rsidR="00EC7795" w:rsidRPr="00EC7795" w:rsidRDefault="00EC7795" w:rsidP="00EC7795">
      <w:pPr>
        <w:pStyle w:val="BoxText"/>
        <w:rPr>
          <w:rStyle w:val="Strong"/>
          <w:b w:val="0"/>
          <w:bCs w:val="0"/>
        </w:rPr>
      </w:pPr>
      <w:r w:rsidRPr="00EC7795">
        <w:rPr>
          <w:rStyle w:val="Strong"/>
          <w:b w:val="0"/>
          <w:bCs w:val="0"/>
        </w:rPr>
        <w:t>The department is already addressing this in a number of ways. In addition to the progress on the development and implementation of the Regulatory Practice Statement, the Regulatory Practice Committee works across the department to improve regulatory practice, encourage consistency and work through roles and continues to address issues related to regulatory practice across the organisation. Since the Moss Review, machinery of government changes have broadened the department's regulatory reach, and the Regulatory Practice Committee has been an effective approach to managing shared regulatory practice issues. While it is not planned for the PRO position to expand in the immediate term, the PRO is deeply involved in the work of the Regulatory Practice Committee, as well as being a member of the department's Risk Committee.</w:t>
      </w:r>
    </w:p>
    <w:p w14:paraId="2A637F29" w14:textId="77777777" w:rsidR="00EC7795" w:rsidRPr="00EC7795" w:rsidRDefault="00EC7795" w:rsidP="00EC7795">
      <w:pPr>
        <w:pStyle w:val="BoxText"/>
        <w:rPr>
          <w:rStyle w:val="Strong"/>
          <w:b w:val="0"/>
          <w:bCs w:val="0"/>
        </w:rPr>
      </w:pPr>
      <w:r w:rsidRPr="00EC7795">
        <w:rPr>
          <w:rStyle w:val="Strong"/>
          <w:b w:val="0"/>
          <w:bCs w:val="0"/>
        </w:rPr>
        <w:t>Export related divisions within the department are also looking closely at processes and approaches to Instructional Material. A key recommendation of a preliminary report on instructional material recommends the close involvement of staff who are undertaking regulatory roles in the drafting and consideration of such material. Live Animal Exports Branch has been using this methodology for some time, ensuring that practitioner input is a key part of the process and that front line regulatory staff are in the team, rather than just consulted.</w:t>
      </w:r>
    </w:p>
    <w:p w14:paraId="4611FFDE" w14:textId="77777777" w:rsidR="00EC7795" w:rsidRPr="00EC7795" w:rsidRDefault="00EC7795" w:rsidP="00EC7795">
      <w:pPr>
        <w:pStyle w:val="BoxText"/>
        <w:rPr>
          <w:rStyle w:val="Strong"/>
          <w:b w:val="0"/>
          <w:bCs w:val="0"/>
        </w:rPr>
      </w:pPr>
      <w:r w:rsidRPr="00EC7795">
        <w:rPr>
          <w:rStyle w:val="Strong"/>
          <w:b w:val="0"/>
          <w:bCs w:val="0"/>
        </w:rPr>
        <w:t xml:space="preserve">Further, Plant and Live Animal Export Division, along with the rest of the Agricultural Trade Group, is moving to use Agile project methodology for much of its work. This includes establishing </w:t>
      </w:r>
      <w:proofErr w:type="spellStart"/>
      <w:r w:rsidRPr="00EC7795">
        <w:rPr>
          <w:rStyle w:val="Strong"/>
          <w:b w:val="0"/>
          <w:bCs w:val="0"/>
        </w:rPr>
        <w:t>multi disciplinary</w:t>
      </w:r>
      <w:proofErr w:type="spellEnd"/>
      <w:r w:rsidRPr="00EC7795">
        <w:rPr>
          <w:rStyle w:val="Strong"/>
          <w:b w:val="0"/>
          <w:bCs w:val="0"/>
        </w:rPr>
        <w:t xml:space="preserve"> teams to tackle projects. As the division becomes more mature in using Agile methodology to run projects, it could examine whether this approach could be used to as a business as usual approach to compliance monitoring.</w:t>
      </w:r>
    </w:p>
    <w:p w14:paraId="3B91B56D" w14:textId="77777777" w:rsidR="00EC7795" w:rsidRPr="00EC7795" w:rsidRDefault="00EC7795" w:rsidP="00EC7795">
      <w:pPr>
        <w:pStyle w:val="BoxText"/>
        <w:rPr>
          <w:rStyle w:val="Strong"/>
          <w:b w:val="0"/>
          <w:bCs w:val="0"/>
        </w:rPr>
      </w:pPr>
      <w:r w:rsidRPr="00EC7795">
        <w:rPr>
          <w:rStyle w:val="Strong"/>
          <w:b w:val="0"/>
          <w:bCs w:val="0"/>
        </w:rPr>
        <w:t>The Management Review Committee also operates across the dispersed functions of live animal export regulation to discuss and agree upon approaches to shared issues. This Committee will continue to strengthen oversight, information sharing and common regulatory attitudes and approaches.</w:t>
      </w:r>
    </w:p>
    <w:p w14:paraId="5FE9DEE7" w14:textId="77777777" w:rsidR="00EC7795" w:rsidRPr="00EC7795" w:rsidRDefault="00EC7795" w:rsidP="00EC7795">
      <w:pPr>
        <w:pStyle w:val="BoxText"/>
        <w:rPr>
          <w:rStyle w:val="Strong"/>
          <w:b w:val="0"/>
          <w:bCs w:val="0"/>
        </w:rPr>
      </w:pPr>
      <w:r w:rsidRPr="00EC7795">
        <w:rPr>
          <w:rStyle w:val="Strong"/>
          <w:b w:val="0"/>
          <w:bCs w:val="0"/>
        </w:rPr>
        <w:t xml:space="preserve">The division has used secondments to bring in staff on an ad hoc basis. </w:t>
      </w:r>
    </w:p>
    <w:p w14:paraId="1E44F534" w14:textId="2A1928A0" w:rsidR="00EC7795" w:rsidRPr="00EC7795" w:rsidRDefault="00EC7795" w:rsidP="00EC7795">
      <w:pPr>
        <w:pStyle w:val="BoxText"/>
        <w:rPr>
          <w:rStyle w:val="Strong"/>
          <w:b w:val="0"/>
          <w:bCs w:val="0"/>
        </w:rPr>
      </w:pPr>
      <w:r w:rsidRPr="00EC7795">
        <w:rPr>
          <w:rStyle w:val="Strong"/>
          <w:b w:val="0"/>
          <w:bCs w:val="0"/>
        </w:rPr>
        <w:t>Most recently, staff from the VEMG were seconded to help with ASEL 3 implementation. The division will continue to look to do this for specific tasks subject to timing and availability of staff in other divisions.</w:t>
      </w:r>
    </w:p>
    <w:p w14:paraId="3036793C" w14:textId="77777777" w:rsidR="00EC7795" w:rsidRPr="004968CB" w:rsidRDefault="00EC7795" w:rsidP="000936A9">
      <w:pPr>
        <w:pStyle w:val="BoxText"/>
        <w:rPr>
          <w:rStyle w:val="Strong"/>
        </w:rPr>
      </w:pPr>
    </w:p>
    <w:p w14:paraId="3D9E6F82" w14:textId="77777777" w:rsidR="00212C1E" w:rsidRDefault="00212C1E" w:rsidP="00295785">
      <w:pPr>
        <w:pStyle w:val="ListNumber"/>
        <w:numPr>
          <w:ilvl w:val="0"/>
          <w:numId w:val="0"/>
        </w:numPr>
        <w:ind w:left="425" w:hanging="425"/>
      </w:pPr>
    </w:p>
    <w:p w14:paraId="0228A0F4" w14:textId="77777777" w:rsidR="00212C1E" w:rsidRDefault="00212C1E" w:rsidP="00295785">
      <w:pPr>
        <w:pStyle w:val="ListNumber"/>
        <w:numPr>
          <w:ilvl w:val="0"/>
          <w:numId w:val="0"/>
        </w:numPr>
        <w:ind w:left="425" w:hanging="425"/>
      </w:pPr>
    </w:p>
    <w:p w14:paraId="6BB35222" w14:textId="3BB3C131" w:rsidR="00212C1E" w:rsidRDefault="00216F11" w:rsidP="00295785">
      <w:pPr>
        <w:pStyle w:val="ListNumber"/>
        <w:numPr>
          <w:ilvl w:val="0"/>
          <w:numId w:val="0"/>
        </w:numPr>
        <w:ind w:left="425" w:hanging="425"/>
      </w:pPr>
      <w:r>
        <w:lastRenderedPageBreak/>
        <w:pict w14:anchorId="1DAA0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6pt">
            <v:imagedata r:id="rId18" o:title="ross' signature"/>
          </v:shape>
        </w:pict>
      </w:r>
    </w:p>
    <w:p w14:paraId="484D37FF" w14:textId="1EAA22A6" w:rsidR="00295785" w:rsidRDefault="00295785" w:rsidP="00295785">
      <w:pPr>
        <w:pStyle w:val="ListNumber"/>
        <w:numPr>
          <w:ilvl w:val="0"/>
          <w:numId w:val="0"/>
        </w:numPr>
        <w:ind w:left="425" w:hanging="425"/>
      </w:pPr>
      <w:r>
        <w:t>Ross Carter</w:t>
      </w:r>
    </w:p>
    <w:p w14:paraId="556A0807" w14:textId="77777777" w:rsidR="00295785" w:rsidRDefault="00295785" w:rsidP="00295785">
      <w:pPr>
        <w:pStyle w:val="ListNumber"/>
        <w:numPr>
          <w:ilvl w:val="0"/>
          <w:numId w:val="0"/>
        </w:numPr>
        <w:ind w:left="425" w:hanging="425"/>
      </w:pPr>
      <w:r>
        <w:t>Inspector-General of Live Animal Exports</w:t>
      </w:r>
    </w:p>
    <w:p w14:paraId="51EF9AB1" w14:textId="37134FBB" w:rsidR="00295785" w:rsidRDefault="00CD5029" w:rsidP="00511FB0">
      <w:pPr>
        <w:pStyle w:val="ListNumber"/>
        <w:numPr>
          <w:ilvl w:val="0"/>
          <w:numId w:val="0"/>
        </w:numPr>
        <w:ind w:left="425" w:hanging="425"/>
        <w:sectPr w:rsidR="00295785" w:rsidSect="00362D8B">
          <w:headerReference w:type="even" r:id="rId19"/>
          <w:headerReference w:type="default" r:id="rId20"/>
          <w:footerReference w:type="default" r:id="rId21"/>
          <w:headerReference w:type="first" r:id="rId22"/>
          <w:pgSz w:w="11906" w:h="16838"/>
          <w:pgMar w:top="1418" w:right="1418" w:bottom="1418" w:left="1418" w:header="567" w:footer="283" w:gutter="0"/>
          <w:pgNumType w:fmt="lowerRoman" w:start="1"/>
          <w:cols w:space="708"/>
          <w:titlePg/>
          <w:docGrid w:linePitch="360"/>
        </w:sectPr>
      </w:pPr>
      <w:r w:rsidRPr="00655E20">
        <w:t>15</w:t>
      </w:r>
      <w:r w:rsidR="00295785">
        <w:t xml:space="preserve"> </w:t>
      </w:r>
      <w:r w:rsidR="00402B0B">
        <w:t xml:space="preserve">December </w:t>
      </w:r>
      <w:r w:rsidR="00295785">
        <w:t>2020</w:t>
      </w:r>
    </w:p>
    <w:p w14:paraId="700E5BA7" w14:textId="7D2979A8" w:rsidR="00295785" w:rsidRDefault="00295785" w:rsidP="00A91AE5">
      <w:pPr>
        <w:pStyle w:val="Heading2"/>
        <w:numPr>
          <w:ilvl w:val="0"/>
          <w:numId w:val="0"/>
        </w:numPr>
        <w:tabs>
          <w:tab w:val="left" w:pos="7935"/>
        </w:tabs>
        <w:spacing w:after="240" w:line="240" w:lineRule="auto"/>
      </w:pPr>
      <w:bookmarkStart w:id="14" w:name="_Toc58774281"/>
      <w:r>
        <w:lastRenderedPageBreak/>
        <w:t>Background</w:t>
      </w:r>
      <w:bookmarkEnd w:id="14"/>
      <w:r w:rsidR="001834EB">
        <w:tab/>
      </w:r>
    </w:p>
    <w:p w14:paraId="71DF1053" w14:textId="5DCF906C" w:rsidR="00395E35" w:rsidRDefault="00395E35" w:rsidP="00237ED3">
      <w:r w:rsidRPr="00395E35">
        <w:t xml:space="preserve">On </w:t>
      </w:r>
      <w:r w:rsidR="001D21C5">
        <w:t xml:space="preserve">9 </w:t>
      </w:r>
      <w:r w:rsidRPr="00395E35">
        <w:t xml:space="preserve">April 2018 the </w:t>
      </w:r>
      <w:r w:rsidRPr="004968CB">
        <w:t>Minister for Agriculture and Water Resources</w:t>
      </w:r>
      <w:r w:rsidRPr="00395E35">
        <w:t xml:space="preserve"> announced a review of the</w:t>
      </w:r>
      <w:r w:rsidR="00D63C3C" w:rsidRPr="00D63C3C">
        <w:t xml:space="preserve"> </w:t>
      </w:r>
      <w:r w:rsidR="00D63C3C" w:rsidRPr="00395E35">
        <w:t>regulatory capability and culture</w:t>
      </w:r>
      <w:r w:rsidRPr="00395E35">
        <w:t xml:space="preserve"> </w:t>
      </w:r>
      <w:r w:rsidR="00D63C3C">
        <w:t xml:space="preserve">of the </w:t>
      </w:r>
      <w:r w:rsidR="0078736C">
        <w:t>Department of Agriculture and Water Resources</w:t>
      </w:r>
      <w:r w:rsidRPr="00395E35">
        <w:t xml:space="preserve">. The announcement was made following video footage of dead and suffering sheep on voyages to the Middle East on the MV </w:t>
      </w:r>
      <w:r w:rsidRPr="00A91AE5">
        <w:rPr>
          <w:rStyle w:val="Emphasis"/>
        </w:rPr>
        <w:t>Awassi Express</w:t>
      </w:r>
      <w:r w:rsidRPr="00395E35">
        <w:t xml:space="preserve"> in 2017. On</w:t>
      </w:r>
      <w:r w:rsidR="001D21C5">
        <w:t xml:space="preserve"> 19</w:t>
      </w:r>
      <w:r w:rsidRPr="00395E35">
        <w:t xml:space="preserve"> April 2018</w:t>
      </w:r>
      <w:r w:rsidR="009127BF">
        <w:t xml:space="preserve"> </w:t>
      </w:r>
      <w:r w:rsidRPr="00395E35">
        <w:t xml:space="preserve">Mr Philip Moss AM </w:t>
      </w:r>
      <w:r w:rsidR="00BB47F9">
        <w:t>w</w:t>
      </w:r>
      <w:r w:rsidRPr="00395E35">
        <w:t xml:space="preserve">as </w:t>
      </w:r>
      <w:r w:rsidR="00BB47F9">
        <w:t xml:space="preserve">engaged as </w:t>
      </w:r>
      <w:r w:rsidRPr="00395E35">
        <w:t>the independent external reviewer.</w:t>
      </w:r>
    </w:p>
    <w:p w14:paraId="15822755" w14:textId="77777777" w:rsidR="00B67D75" w:rsidRDefault="00B67D75" w:rsidP="00395E35">
      <w:r>
        <w:t xml:space="preserve">The review </w:t>
      </w:r>
      <w:r w:rsidR="0078736C">
        <w:t>assessed and made recommendations on:</w:t>
      </w:r>
    </w:p>
    <w:p w14:paraId="3D2BA000" w14:textId="3BA56E59" w:rsidR="0078736C" w:rsidRDefault="0078736C" w:rsidP="00456911">
      <w:pPr>
        <w:pStyle w:val="ListNumber"/>
      </w:pPr>
      <w:r>
        <w:t>The regulatory powers available to the department to ensure compliance with the Australian Standards for the Export of Livestock (ASEL) and animal welfare standards, how effective those powers are to ensure compliance by the live animal exports industry, and how effectively the department uses those powers.</w:t>
      </w:r>
    </w:p>
    <w:p w14:paraId="4DA5FBB6" w14:textId="548713E3" w:rsidR="0078736C" w:rsidRDefault="0078736C" w:rsidP="00456911">
      <w:pPr>
        <w:pStyle w:val="ListNumber"/>
      </w:pPr>
      <w:r>
        <w:t>How the department assesses and determines regulatory conditions appropriate to achieve ASEL and animal welfare standards, and how those conditions are communicated and enforcement of them verified and measured.</w:t>
      </w:r>
    </w:p>
    <w:p w14:paraId="73B65B8B" w14:textId="5D12D736" w:rsidR="0078736C" w:rsidRDefault="0078736C" w:rsidP="00456911">
      <w:pPr>
        <w:pStyle w:val="ListNumber"/>
      </w:pPr>
      <w:r>
        <w:t>The process for investigating reportable mortality events and complaints received about industry compliance with the ASEL and animal welfare standards.</w:t>
      </w:r>
    </w:p>
    <w:p w14:paraId="35E2C8F3" w14:textId="3D7EE46C" w:rsidR="0078736C" w:rsidRDefault="0078736C" w:rsidP="00456911">
      <w:pPr>
        <w:pStyle w:val="ListNumber"/>
      </w:pPr>
      <w:r>
        <w:t>The effectiveness of reporting obligations under relevant legislation.</w:t>
      </w:r>
    </w:p>
    <w:p w14:paraId="5843EA04" w14:textId="2D38E696" w:rsidR="0078736C" w:rsidRDefault="0078736C" w:rsidP="00456911">
      <w:pPr>
        <w:pStyle w:val="ListNumber"/>
      </w:pPr>
      <w:r>
        <w:t xml:space="preserve">Appropriate structures within the department to ensure regulatory responsibilities are met, including whether </w:t>
      </w:r>
      <w:r w:rsidRPr="00563B6B">
        <w:t>an Inspector-General of Livestock Exports would provide</w:t>
      </w:r>
      <w:r>
        <w:t xml:space="preserve"> superior oversight of the regulator.</w:t>
      </w:r>
    </w:p>
    <w:p w14:paraId="40759031" w14:textId="7AF2D6A4" w:rsidR="0078736C" w:rsidRDefault="0078736C" w:rsidP="00456911">
      <w:pPr>
        <w:pStyle w:val="ListNumber"/>
      </w:pPr>
      <w:r>
        <w:t>The development and maintenance within the department of an effective regulatory culture that delivers on animal welfare standards and the ASEL and in doing so supports a sustainable live animal exports industry.</w:t>
      </w:r>
    </w:p>
    <w:p w14:paraId="7929817D" w14:textId="2DC5EB01" w:rsidR="0078736C" w:rsidRDefault="0078736C" w:rsidP="00456911">
      <w:pPr>
        <w:pStyle w:val="ListNumber"/>
      </w:pPr>
      <w:r>
        <w:t>The requisite skills, capabilities and systems for regulating the live animal export trade, as well as any improvements to support departmental officers in their regulatory capacity.</w:t>
      </w:r>
    </w:p>
    <w:p w14:paraId="48598282" w14:textId="691D800B" w:rsidR="0078736C" w:rsidRDefault="0078736C" w:rsidP="00456911">
      <w:pPr>
        <w:pStyle w:val="ListNumber"/>
      </w:pPr>
      <w:r>
        <w:t xml:space="preserve">The effectiveness of the department’s interaction with relevant </w:t>
      </w:r>
      <w:r w:rsidR="007B50C2">
        <w:t>s</w:t>
      </w:r>
      <w:r>
        <w:t xml:space="preserve">tate and </w:t>
      </w:r>
      <w:r w:rsidR="007B50C2">
        <w:t>t</w:t>
      </w:r>
      <w:r>
        <w:t xml:space="preserve">erritory authorities (and applicable </w:t>
      </w:r>
      <w:r w:rsidR="009127BF">
        <w:t>s</w:t>
      </w:r>
      <w:r>
        <w:t xml:space="preserve">tate and </w:t>
      </w:r>
      <w:r w:rsidR="009127BF">
        <w:t>t</w:t>
      </w:r>
      <w:r>
        <w:t>erritory legislation) as well as improvements to ensure the best level of Commonwealth</w:t>
      </w:r>
      <w:r w:rsidR="000545C8">
        <w:t xml:space="preserve">, </w:t>
      </w:r>
      <w:r w:rsidR="007B50C2">
        <w:t>s</w:t>
      </w:r>
      <w:r>
        <w:t xml:space="preserve">tate and </w:t>
      </w:r>
      <w:r w:rsidR="007B50C2">
        <w:t>t</w:t>
      </w:r>
      <w:r>
        <w:t>erritory cooperation can be achieved.</w:t>
      </w:r>
    </w:p>
    <w:p w14:paraId="2CF096DC" w14:textId="1EF482A5" w:rsidR="0078736C" w:rsidRDefault="0078736C" w:rsidP="00456911">
      <w:pPr>
        <w:pStyle w:val="ListNumber"/>
      </w:pPr>
      <w:r>
        <w:t>The ability of the department to assess community expectations and its cultural capacity to respond, including the manner in which the department engages with key stakeholders, including the live animal exports industry and supply chain, animal welfare organisations, other regulators, community stakeholders and international trading partners and governments.</w:t>
      </w:r>
    </w:p>
    <w:p w14:paraId="24D84366" w14:textId="36030AE6" w:rsidR="0078736C" w:rsidRDefault="0078736C" w:rsidP="00456911">
      <w:pPr>
        <w:pStyle w:val="ListNumber"/>
      </w:pPr>
      <w:r>
        <w:t>Any related matter.</w:t>
      </w:r>
    </w:p>
    <w:p w14:paraId="179E72DA" w14:textId="45006D3B" w:rsidR="00395E35" w:rsidRDefault="00395E35" w:rsidP="00395E35">
      <w:r>
        <w:t xml:space="preserve">On 27 September 2018 </w:t>
      </w:r>
      <w:r w:rsidR="005957B8">
        <w:t xml:space="preserve">the ‘Review of the regulatory capability of the Department of Agriculture and Water Resources in the regulation of live animals exports’ (Moss review) </w:t>
      </w:r>
      <w:r>
        <w:t>was published with 31 recommendations to improve the department’s regulatory capability and culture</w:t>
      </w:r>
      <w:r w:rsidR="0060136A">
        <w:t xml:space="preserve"> (</w:t>
      </w:r>
      <w:r w:rsidR="0060136A" w:rsidRPr="001D71C2">
        <w:t>Moss 2018</w:t>
      </w:r>
      <w:r w:rsidR="0060136A">
        <w:t>)</w:t>
      </w:r>
      <w:r>
        <w:t>. The department</w:t>
      </w:r>
      <w:r w:rsidR="00615618">
        <w:t xml:space="preserve"> </w:t>
      </w:r>
      <w:r>
        <w:t>support</w:t>
      </w:r>
      <w:r w:rsidR="00615618">
        <w:t xml:space="preserve">ed </w:t>
      </w:r>
      <w:r w:rsidR="00876A39">
        <w:t>22</w:t>
      </w:r>
      <w:r w:rsidR="00615618">
        <w:t xml:space="preserve"> recommendation</w:t>
      </w:r>
      <w:r w:rsidR="00D63C3C">
        <w:t>s</w:t>
      </w:r>
      <w:r w:rsidR="00615618">
        <w:t xml:space="preserve"> in full </w:t>
      </w:r>
      <w:r w:rsidR="00876A39">
        <w:t>and 8</w:t>
      </w:r>
      <w:r>
        <w:t xml:space="preserve"> in principle.</w:t>
      </w:r>
      <w:r w:rsidR="003B6461">
        <w:t xml:space="preserve"> Recommendation 21 did not have a response.</w:t>
      </w:r>
    </w:p>
    <w:p w14:paraId="4E63D58E" w14:textId="77777777" w:rsidR="000D2A70" w:rsidRDefault="00395E35" w:rsidP="00395E35">
      <w:r>
        <w:lastRenderedPageBreak/>
        <w:t>In October 2019 the department published an implementation progress report</w:t>
      </w:r>
      <w:r w:rsidR="00615618">
        <w:t xml:space="preserve"> (</w:t>
      </w:r>
      <w:r w:rsidR="00615618" w:rsidRPr="001D71C2">
        <w:t>Department of Agriculture</w:t>
      </w:r>
      <w:r w:rsidR="008331F4" w:rsidRPr="001D71C2">
        <w:t xml:space="preserve"> </w:t>
      </w:r>
      <w:r w:rsidR="00615618" w:rsidRPr="001D71C2">
        <w:t>2019</w:t>
      </w:r>
      <w:r w:rsidR="00615618">
        <w:t>)</w:t>
      </w:r>
      <w:r>
        <w:t xml:space="preserve">. The report described progress made against all </w:t>
      </w:r>
      <w:r w:rsidR="00543CF6">
        <w:t>31 </w:t>
      </w:r>
      <w:r>
        <w:t>recommendations</w:t>
      </w:r>
      <w:r w:rsidR="003E3C36">
        <w:t>,</w:t>
      </w:r>
      <w:r>
        <w:t xml:space="preserve"> indicating that 15 were completed, 11 were in progress and 5 were </w:t>
      </w:r>
      <w:r w:rsidRPr="00543CF6">
        <w:t>ongoing.</w:t>
      </w:r>
      <w:r w:rsidR="00930C78" w:rsidRPr="00543CF6">
        <w:t xml:space="preserve"> This report was used </w:t>
      </w:r>
      <w:r w:rsidR="00F44CDA" w:rsidRPr="00543CF6">
        <w:t>to inform</w:t>
      </w:r>
      <w:r w:rsidR="00930C78" w:rsidRPr="00543CF6">
        <w:t xml:space="preserve"> this review</w:t>
      </w:r>
      <w:r w:rsidR="008331F4" w:rsidRPr="00543CF6">
        <w:t>’</w:t>
      </w:r>
      <w:r w:rsidR="00930C78" w:rsidRPr="00543CF6">
        <w:t>s submission process.</w:t>
      </w:r>
      <w:r w:rsidR="00543CF6" w:rsidRPr="00543CF6">
        <w:t xml:space="preserve"> </w:t>
      </w:r>
    </w:p>
    <w:p w14:paraId="34A8E405" w14:textId="67049754" w:rsidR="00395E35" w:rsidRDefault="00930C78" w:rsidP="00395E35">
      <w:r w:rsidRPr="00543CF6">
        <w:t>In June 2020</w:t>
      </w:r>
      <w:r w:rsidR="00F831AB">
        <w:t xml:space="preserve"> </w:t>
      </w:r>
      <w:r w:rsidRPr="00543CF6">
        <w:t xml:space="preserve">the </w:t>
      </w:r>
      <w:r w:rsidR="004A1378">
        <w:t>i</w:t>
      </w:r>
      <w:r w:rsidRPr="00543CF6">
        <w:t>nspector-</w:t>
      </w:r>
      <w:r w:rsidR="004A1378">
        <w:t>g</w:t>
      </w:r>
      <w:r w:rsidRPr="00543CF6">
        <w:t>eneral received an update</w:t>
      </w:r>
      <w:r w:rsidR="005957B8">
        <w:t xml:space="preserve"> on</w:t>
      </w:r>
      <w:r w:rsidR="00543CF6" w:rsidRPr="00D913BA">
        <w:t xml:space="preserve"> progress</w:t>
      </w:r>
      <w:r w:rsidRPr="00543CF6">
        <w:t xml:space="preserve"> from the department.</w:t>
      </w:r>
      <w:r w:rsidR="00543CF6" w:rsidRPr="00543CF6">
        <w:t xml:space="preserve"> </w:t>
      </w:r>
      <w:r w:rsidR="00352CDC" w:rsidRPr="00543CF6">
        <w:t>Th</w:t>
      </w:r>
      <w:r w:rsidR="00543CF6" w:rsidRPr="00D913BA">
        <w:t xml:space="preserve">is review draws on </w:t>
      </w:r>
      <w:r w:rsidR="00543CF6" w:rsidRPr="00543CF6">
        <w:t>both</w:t>
      </w:r>
      <w:r w:rsidRPr="00543CF6">
        <w:t xml:space="preserve"> </w:t>
      </w:r>
      <w:r w:rsidR="005957B8">
        <w:t>these sources</w:t>
      </w:r>
      <w:r w:rsidR="00352CDC" w:rsidRPr="00543CF6">
        <w:t xml:space="preserve"> </w:t>
      </w:r>
      <w:r w:rsidR="00543CF6" w:rsidRPr="00543CF6">
        <w:t>to summarise the department</w:t>
      </w:r>
      <w:r w:rsidR="00543CF6" w:rsidRPr="00D913BA">
        <w:t>’</w:t>
      </w:r>
      <w:r w:rsidR="00543CF6" w:rsidRPr="00543CF6">
        <w:t>s progress</w:t>
      </w:r>
      <w:r w:rsidR="00543CF6">
        <w:t xml:space="preserve"> on implementation of the Moss Review recommendations</w:t>
      </w:r>
      <w:r w:rsidR="00F219CC" w:rsidRPr="00543CF6">
        <w:t>.</w:t>
      </w:r>
    </w:p>
    <w:p w14:paraId="193A1204" w14:textId="2D95FDE7" w:rsidR="00F9169B" w:rsidRDefault="00E70D6C" w:rsidP="00082B8F">
      <w:pPr>
        <w:pStyle w:val="Heading2"/>
      </w:pPr>
      <w:bookmarkStart w:id="15" w:name="_Summary_of_recommendation"/>
      <w:bookmarkStart w:id="16" w:name="_Recommendation__status"/>
      <w:bookmarkStart w:id="17" w:name="_Toc58774282"/>
      <w:bookmarkEnd w:id="15"/>
      <w:bookmarkEnd w:id="16"/>
      <w:r>
        <w:lastRenderedPageBreak/>
        <w:t>R</w:t>
      </w:r>
      <w:r w:rsidR="00F9169B">
        <w:t>ecommendation status</w:t>
      </w:r>
      <w:bookmarkEnd w:id="17"/>
    </w:p>
    <w:p w14:paraId="11F2CE7D" w14:textId="065EEC34" w:rsidR="00BA4390" w:rsidRDefault="004D66DB" w:rsidP="001B6729">
      <w:r>
        <w:t xml:space="preserve">In 2019 the department </w:t>
      </w:r>
      <w:r w:rsidR="00BE428B">
        <w:t xml:space="preserve">provided a </w:t>
      </w:r>
      <w:r>
        <w:t xml:space="preserve">progress </w:t>
      </w:r>
      <w:r w:rsidR="00BE428B">
        <w:t xml:space="preserve">report </w:t>
      </w:r>
      <w:r>
        <w:t xml:space="preserve">on the implementation of recommendations from the </w:t>
      </w:r>
      <w:r w:rsidR="006932ED">
        <w:t>Moss Review</w:t>
      </w:r>
      <w:r>
        <w:t>.</w:t>
      </w:r>
      <w:r w:rsidR="008F27AB" w:rsidRPr="00B53AFC">
        <w:t xml:space="preserve"> </w:t>
      </w:r>
      <w:r w:rsidR="00BE428B">
        <w:t xml:space="preserve">The </w:t>
      </w:r>
      <w:hyperlink r:id="rId23" w:history="1">
        <w:r w:rsidR="004B5D06">
          <w:rPr>
            <w:rStyle w:val="Hyperlink"/>
          </w:rPr>
          <w:t>Implementation progress report</w:t>
        </w:r>
      </w:hyperlink>
      <w:r w:rsidR="004B5D06">
        <w:t xml:space="preserve"> </w:t>
      </w:r>
      <w:r w:rsidR="00BE428B">
        <w:t>included a status indicator</w:t>
      </w:r>
      <w:r w:rsidR="008813BE">
        <w:t xml:space="preserve"> </w:t>
      </w:r>
      <w:r w:rsidR="00BE428B">
        <w:t>alongside each recommendation</w:t>
      </w:r>
      <w:r w:rsidR="00F91BA3">
        <w:t>:</w:t>
      </w:r>
    </w:p>
    <w:p w14:paraId="4BC431A1" w14:textId="77777777" w:rsidR="00B211A1" w:rsidRDefault="00B211A1" w:rsidP="00511FB0">
      <w:pPr>
        <w:pStyle w:val="ListBullet"/>
      </w:pPr>
      <w:r w:rsidRPr="00D9667D">
        <w:t>In progress</w:t>
      </w:r>
    </w:p>
    <w:p w14:paraId="1AB21C42" w14:textId="01FEF607" w:rsidR="00B211A1" w:rsidRDefault="00B211A1" w:rsidP="00511FB0">
      <w:pPr>
        <w:pStyle w:val="ListBullet"/>
      </w:pPr>
      <w:r>
        <w:t>O</w:t>
      </w:r>
      <w:r w:rsidRPr="008D3B40">
        <w:t>ngoing</w:t>
      </w:r>
    </w:p>
    <w:p w14:paraId="7CFFF7C3" w14:textId="29D45E95" w:rsidR="00D9667D" w:rsidRDefault="00B211A1" w:rsidP="00511FB0">
      <w:pPr>
        <w:pStyle w:val="ListBullet"/>
      </w:pPr>
      <w:r>
        <w:t>Complete.</w:t>
      </w:r>
    </w:p>
    <w:p w14:paraId="29D8C414" w14:textId="44EE5E55" w:rsidR="00BA4390" w:rsidRDefault="00BA4390" w:rsidP="00BA4390">
      <w:r>
        <w:t xml:space="preserve">The </w:t>
      </w:r>
      <w:r w:rsidR="004A1378">
        <w:t>i</w:t>
      </w:r>
      <w:r>
        <w:t>nspector-</w:t>
      </w:r>
      <w:r w:rsidR="004A1378">
        <w:t>g</w:t>
      </w:r>
      <w:r>
        <w:t>eneral concluded that</w:t>
      </w:r>
      <w:r w:rsidRPr="00B53AFC">
        <w:t xml:space="preserve"> </w:t>
      </w:r>
      <w:r>
        <w:t>the</w:t>
      </w:r>
      <w:r w:rsidRPr="00B53AFC">
        <w:t xml:space="preserve"> status categories</w:t>
      </w:r>
      <w:r>
        <w:t xml:space="preserve"> needed revision to</w:t>
      </w:r>
      <w:r w:rsidRPr="004D66DB">
        <w:t xml:space="preserve"> reflect the cumulative and ongoing intent of the </w:t>
      </w:r>
      <w:r>
        <w:t>Moss Review</w:t>
      </w:r>
      <w:r w:rsidRPr="004D66DB">
        <w:t>’s recommendations to</w:t>
      </w:r>
      <w:r>
        <w:t>:</w:t>
      </w:r>
    </w:p>
    <w:p w14:paraId="7BE6FEB7" w14:textId="644D5E01" w:rsidR="00BA4390" w:rsidRDefault="00BA4390" w:rsidP="00BA4390">
      <w:pPr>
        <w:pStyle w:val="ListBullet"/>
      </w:pPr>
      <w:r w:rsidRPr="00B53AFC">
        <w:t xml:space="preserve">improve the performance of the department as the independent </w:t>
      </w:r>
      <w:r w:rsidRPr="004D66DB">
        <w:t>regulator of live</w:t>
      </w:r>
      <w:r w:rsidR="00BD7FC4">
        <w:t>stock</w:t>
      </w:r>
      <w:r w:rsidRPr="004D66DB">
        <w:t xml:space="preserve"> animal exports</w:t>
      </w:r>
    </w:p>
    <w:p w14:paraId="67C6AF4F" w14:textId="77777777" w:rsidR="00BA4390" w:rsidRDefault="00BA4390" w:rsidP="00BA4390">
      <w:pPr>
        <w:pStyle w:val="ListBullet"/>
      </w:pPr>
      <w:r w:rsidRPr="004D66DB">
        <w:t>instil the importance of animal health and welfare</w:t>
      </w:r>
    </w:p>
    <w:p w14:paraId="4C405B37" w14:textId="77777777" w:rsidR="00BA4390" w:rsidRPr="001B6729" w:rsidRDefault="00BA4390" w:rsidP="00BA4390">
      <w:pPr>
        <w:pStyle w:val="ListBullet"/>
      </w:pPr>
      <w:r>
        <w:t>e</w:t>
      </w:r>
      <w:r w:rsidRPr="004D66DB">
        <w:t>mbed continuous improvement.</w:t>
      </w:r>
    </w:p>
    <w:p w14:paraId="10BD9CCE" w14:textId="5DECE891" w:rsidR="00564032" w:rsidRDefault="00564032" w:rsidP="00564032">
      <w:r>
        <w:t xml:space="preserve">The department listed as ‘complete’ several recommendations associated with capability, systems, processes, legislative or policy change. However, the nature of these recommendations </w:t>
      </w:r>
      <w:r w:rsidRPr="00CA7D5F">
        <w:t xml:space="preserve">suggests that the changes need to be ongoing. A more useful status definition for these types of recommendations would indicate whether the changes necessary for implementation have been completed and are ongoing, or </w:t>
      </w:r>
      <w:r w:rsidRPr="004224A7">
        <w:t xml:space="preserve">that </w:t>
      </w:r>
      <w:r w:rsidRPr="00CA7D5F">
        <w:t xml:space="preserve">a recommended process has been completed for the first time but requires regular review. </w:t>
      </w:r>
    </w:p>
    <w:p w14:paraId="78F39E30" w14:textId="79C4AD5A" w:rsidR="00A400AA" w:rsidRDefault="00CA7D5F" w:rsidP="008813BE">
      <w:r>
        <w:t xml:space="preserve">The </w:t>
      </w:r>
      <w:r w:rsidR="004A1378">
        <w:t>i</w:t>
      </w:r>
      <w:r w:rsidR="00D9667D">
        <w:t>nspector-</w:t>
      </w:r>
      <w:r w:rsidR="004A1378">
        <w:t>g</w:t>
      </w:r>
      <w:r w:rsidR="00D9667D">
        <w:t xml:space="preserve">eneral </w:t>
      </w:r>
      <w:r>
        <w:t>recommends</w:t>
      </w:r>
      <w:r w:rsidRPr="00CA7D5F">
        <w:t xml:space="preserve"> </w:t>
      </w:r>
      <w:r>
        <w:t>the department use the following</w:t>
      </w:r>
      <w:r w:rsidR="00D60319" w:rsidRPr="00CA7D5F">
        <w:t xml:space="preserve"> status</w:t>
      </w:r>
      <w:r w:rsidR="007C76E6" w:rsidRPr="00CA7D5F">
        <w:t xml:space="preserve"> </w:t>
      </w:r>
      <w:r w:rsidR="00D60319" w:rsidRPr="00CA7D5F">
        <w:t>definitions</w:t>
      </w:r>
      <w:r w:rsidR="00146C82" w:rsidRPr="00146C82">
        <w:t>:</w:t>
      </w:r>
    </w:p>
    <w:p w14:paraId="5C38E314" w14:textId="4CB2236D" w:rsidR="00A244B5" w:rsidRPr="00D9667D" w:rsidRDefault="00A244B5" w:rsidP="008813BE">
      <w:pPr>
        <w:pStyle w:val="ListBullet"/>
      </w:pPr>
      <w:r w:rsidRPr="00D9667D">
        <w:t>In progress</w:t>
      </w:r>
    </w:p>
    <w:p w14:paraId="52F061B1" w14:textId="51B3BB45" w:rsidR="00D9667D" w:rsidRPr="00D9667D" w:rsidRDefault="00D9667D" w:rsidP="008813BE">
      <w:pPr>
        <w:pStyle w:val="ListBullet"/>
      </w:pPr>
      <w:r w:rsidRPr="00D9667D">
        <w:t>In progress (on hold)</w:t>
      </w:r>
    </w:p>
    <w:p w14:paraId="47B1D627" w14:textId="5FFBFD1B" w:rsidR="00D9667D" w:rsidRDefault="00D9667D" w:rsidP="008813BE">
      <w:pPr>
        <w:pStyle w:val="ListBullet"/>
      </w:pPr>
      <w:r w:rsidRPr="008D3B40">
        <w:t>Implemented – ongoing</w:t>
      </w:r>
      <w:r w:rsidR="00407250">
        <w:t>.</w:t>
      </w:r>
    </w:p>
    <w:p w14:paraId="576C7276" w14:textId="071C33B1" w:rsidR="00ED4E90" w:rsidRDefault="00ED4E90" w:rsidP="001B6729">
      <w:r>
        <w:t xml:space="preserve">The </w:t>
      </w:r>
      <w:r w:rsidR="006932ED">
        <w:t>Moss Review</w:t>
      </w:r>
      <w:r w:rsidR="00AC59F3">
        <w:t xml:space="preserve"> </w:t>
      </w:r>
      <w:r w:rsidR="00FD1E05">
        <w:t>listed its recommendations under each of the terms of reference</w:t>
      </w:r>
      <w:r w:rsidR="009D12B4">
        <w:t xml:space="preserve">. </w:t>
      </w:r>
      <w:r w:rsidR="009D12B4" w:rsidRPr="009D12B4">
        <w:t>The</w:t>
      </w:r>
      <w:r w:rsidR="00F35D3D">
        <w:t>se</w:t>
      </w:r>
      <w:r w:rsidR="009D12B4" w:rsidRPr="009D12B4">
        <w:t xml:space="preserve"> require</w:t>
      </w:r>
      <w:r w:rsidR="006F227D">
        <w:t>d</w:t>
      </w:r>
      <w:r w:rsidR="009D12B4" w:rsidRPr="009D12B4">
        <w:t xml:space="preserve"> the review to assess the capability, powers, practices and</w:t>
      </w:r>
      <w:r w:rsidR="006F227D">
        <w:t xml:space="preserve"> </w:t>
      </w:r>
      <w:r w:rsidR="009D12B4" w:rsidRPr="009D12B4">
        <w:t>culture of the department as the regulator of live</w:t>
      </w:r>
      <w:r w:rsidR="00BD7FC4">
        <w:t>stock</w:t>
      </w:r>
      <w:r w:rsidR="009D12B4" w:rsidRPr="009D12B4">
        <w:t xml:space="preserve"> animal exports. The review </w:t>
      </w:r>
      <w:r w:rsidR="006F227D">
        <w:t xml:space="preserve">made </w:t>
      </w:r>
      <w:r w:rsidR="009D12B4" w:rsidRPr="009D12B4">
        <w:t>recommendations on improvements to regulatory and investigative performance to</w:t>
      </w:r>
      <w:r w:rsidR="006F227D">
        <w:t xml:space="preserve"> </w:t>
      </w:r>
      <w:r w:rsidR="009D12B4" w:rsidRPr="009D12B4">
        <w:t>ensure that persons involved in the live</w:t>
      </w:r>
      <w:r w:rsidR="00BE45EC">
        <w:t>stock</w:t>
      </w:r>
      <w:r w:rsidR="009D12B4" w:rsidRPr="009D12B4">
        <w:t xml:space="preserve"> animal export trade comply with regulations and</w:t>
      </w:r>
      <w:r w:rsidR="006F227D">
        <w:t xml:space="preserve"> </w:t>
      </w:r>
      <w:r w:rsidR="009D12B4" w:rsidRPr="009D12B4">
        <w:t xml:space="preserve">maintain </w:t>
      </w:r>
      <w:r w:rsidR="005B7822" w:rsidRPr="009D12B4">
        <w:t>animal welfare</w:t>
      </w:r>
      <w:r w:rsidR="005B7822" w:rsidRPr="009D12B4" w:rsidDel="005B7822">
        <w:t xml:space="preserve"> </w:t>
      </w:r>
      <w:r w:rsidR="009D12B4" w:rsidRPr="009D12B4">
        <w:t>standards</w:t>
      </w:r>
      <w:r w:rsidR="00BE428B">
        <w:t>. The review also made recommendations to ensure</w:t>
      </w:r>
      <w:r w:rsidR="009D12B4" w:rsidRPr="009D12B4">
        <w:t xml:space="preserve"> that the department is a trusted regulator</w:t>
      </w:r>
      <w:r w:rsidR="00E25A43">
        <w:t xml:space="preserve"> </w:t>
      </w:r>
      <w:r w:rsidR="00E25A43" w:rsidRPr="009D12B4">
        <w:t>of the</w:t>
      </w:r>
      <w:r w:rsidR="009D12B4" w:rsidRPr="009D12B4">
        <w:t xml:space="preserve"> live</w:t>
      </w:r>
      <w:r w:rsidR="00564B8D">
        <w:t>stock</w:t>
      </w:r>
      <w:r w:rsidR="009D12B4" w:rsidRPr="009D12B4">
        <w:t xml:space="preserve"> export trade.</w:t>
      </w:r>
    </w:p>
    <w:p w14:paraId="10A26C4F" w14:textId="7C53B196" w:rsidR="0095627B" w:rsidRDefault="0095627B" w:rsidP="0095627B">
      <w:r>
        <w:t xml:space="preserve">The </w:t>
      </w:r>
      <w:r w:rsidR="006932ED">
        <w:t>Moss Review</w:t>
      </w:r>
      <w:r>
        <w:t xml:space="preserve"> recommendations need to be considered holistically to deliver a step change in regulatory practice in the department. The department recognised this in determining </w:t>
      </w:r>
      <w:r w:rsidR="00F35D3D">
        <w:t>4 </w:t>
      </w:r>
      <w:r>
        <w:t>focus areas for its response to the recommendations:</w:t>
      </w:r>
    </w:p>
    <w:p w14:paraId="4221D067" w14:textId="05C102BD" w:rsidR="0095627B" w:rsidRDefault="0095627B" w:rsidP="004E78AC">
      <w:pPr>
        <w:pStyle w:val="ListNumber"/>
        <w:numPr>
          <w:ilvl w:val="0"/>
          <w:numId w:val="56"/>
        </w:numPr>
      </w:pPr>
      <w:r>
        <w:t>Organising for a strong regulatory practice</w:t>
      </w:r>
      <w:r w:rsidR="00F35D3D">
        <w:t>.</w:t>
      </w:r>
    </w:p>
    <w:p w14:paraId="2644DC5E" w14:textId="7598492D" w:rsidR="0095627B" w:rsidRDefault="0095627B" w:rsidP="004E78AC">
      <w:pPr>
        <w:pStyle w:val="ListNumber"/>
        <w:numPr>
          <w:ilvl w:val="0"/>
          <w:numId w:val="56"/>
        </w:numPr>
      </w:pPr>
      <w:r>
        <w:t>Ensuring a transparent and well</w:t>
      </w:r>
      <w:r w:rsidR="00F35D3D">
        <w:t>-</w:t>
      </w:r>
      <w:r>
        <w:t>engaged regulator</w:t>
      </w:r>
      <w:r w:rsidR="00F35D3D">
        <w:t>.</w:t>
      </w:r>
    </w:p>
    <w:p w14:paraId="3AC6D552" w14:textId="21E41251" w:rsidR="0095627B" w:rsidRDefault="0095627B" w:rsidP="004E78AC">
      <w:pPr>
        <w:pStyle w:val="ListNumber"/>
        <w:numPr>
          <w:ilvl w:val="0"/>
          <w:numId w:val="56"/>
        </w:numPr>
      </w:pPr>
      <w:r>
        <w:t>Delivering a regulator with the necessary skills and systems</w:t>
      </w:r>
      <w:r w:rsidR="00F35D3D">
        <w:t>.</w:t>
      </w:r>
    </w:p>
    <w:p w14:paraId="78F27617" w14:textId="1029DA83" w:rsidR="0095627B" w:rsidRPr="001D71C2" w:rsidRDefault="0095627B" w:rsidP="004E78AC">
      <w:pPr>
        <w:pStyle w:val="ListNumber"/>
        <w:numPr>
          <w:ilvl w:val="0"/>
          <w:numId w:val="56"/>
        </w:numPr>
      </w:pPr>
      <w:r>
        <w:lastRenderedPageBreak/>
        <w:t>Ensuring animal welfare is integral to its regulatory approach</w:t>
      </w:r>
      <w:r w:rsidR="00352CDC">
        <w:t xml:space="preserve"> (</w:t>
      </w:r>
      <w:r w:rsidR="00352CDC" w:rsidRPr="001D71C2">
        <w:t>Department of Agriculture and Water Resources 201</w:t>
      </w:r>
      <w:r w:rsidR="00D53899" w:rsidRPr="001D71C2">
        <w:t>8</w:t>
      </w:r>
      <w:r w:rsidR="00352CDC" w:rsidRPr="001D71C2">
        <w:t>)</w:t>
      </w:r>
      <w:r w:rsidRPr="001D71C2">
        <w:t>.</w:t>
      </w:r>
    </w:p>
    <w:p w14:paraId="08A93F41" w14:textId="025F97A2" w:rsidR="0095627B" w:rsidRDefault="0095627B" w:rsidP="0095627B">
      <w:r>
        <w:t xml:space="preserve">The department has made </w:t>
      </w:r>
      <w:r w:rsidR="00F35D3D">
        <w:t xml:space="preserve">significant </w:t>
      </w:r>
      <w:r>
        <w:t xml:space="preserve">progress against </w:t>
      </w:r>
      <w:r w:rsidR="000714AE">
        <w:t>several</w:t>
      </w:r>
      <w:r>
        <w:t xml:space="preserve"> recommendations.</w:t>
      </w:r>
    </w:p>
    <w:p w14:paraId="162E36AC" w14:textId="588CE036" w:rsidR="008E3B98" w:rsidRDefault="008E3B98" w:rsidP="00A67BD7">
      <w:pPr>
        <w:pStyle w:val="Heading3"/>
      </w:pPr>
      <w:bookmarkStart w:id="18" w:name="_Toc50537091"/>
      <w:bookmarkStart w:id="19" w:name="_Toc58774283"/>
      <w:r w:rsidRPr="008E3B98">
        <w:t xml:space="preserve">Organising for </w:t>
      </w:r>
      <w:r w:rsidR="00564B8D">
        <w:t xml:space="preserve">a </w:t>
      </w:r>
      <w:r w:rsidRPr="008E3B98">
        <w:t>strong regulatory practice</w:t>
      </w:r>
      <w:bookmarkEnd w:id="18"/>
      <w:bookmarkEnd w:id="19"/>
    </w:p>
    <w:p w14:paraId="2F826384" w14:textId="501AD2CF" w:rsidR="000714AE" w:rsidRPr="00141865" w:rsidRDefault="000714AE" w:rsidP="00A67BD7">
      <w:r>
        <w:t>In its 2018 response to the Moss Review, the department stated:</w:t>
      </w:r>
    </w:p>
    <w:p w14:paraId="05F40F33" w14:textId="1E1EB80D" w:rsidR="008E3B98" w:rsidRPr="008E3B98" w:rsidRDefault="008E3B98" w:rsidP="008E3B98">
      <w:pPr>
        <w:ind w:left="709" w:right="567"/>
        <w:rPr>
          <w:rFonts w:eastAsia="Times New Roman"/>
          <w:iCs/>
          <w:color w:val="000000"/>
          <w:sz w:val="20"/>
          <w:szCs w:val="24"/>
        </w:rPr>
      </w:pPr>
      <w:r w:rsidRPr="008E3B98">
        <w:rPr>
          <w:rFonts w:eastAsia="Times New Roman"/>
          <w:iCs/>
          <w:color w:val="000000"/>
          <w:sz w:val="20"/>
          <w:szCs w:val="24"/>
        </w:rPr>
        <w:t xml:space="preserve">The department has acknowledged that it is a regulator in transition and is working </w:t>
      </w:r>
      <w:r w:rsidR="00E234FF" w:rsidRPr="008E3B98">
        <w:rPr>
          <w:rFonts w:eastAsia="Times New Roman"/>
          <w:iCs/>
          <w:color w:val="000000"/>
          <w:sz w:val="20"/>
          <w:szCs w:val="24"/>
        </w:rPr>
        <w:t>to</w:t>
      </w:r>
      <w:r w:rsidR="00E234FF">
        <w:rPr>
          <w:rFonts w:eastAsia="Times New Roman"/>
          <w:iCs/>
          <w:color w:val="000000"/>
          <w:sz w:val="20"/>
          <w:szCs w:val="24"/>
        </w:rPr>
        <w:t xml:space="preserve"> </w:t>
      </w:r>
      <w:r w:rsidRPr="008E3B98">
        <w:rPr>
          <w:rFonts w:eastAsia="Times New Roman"/>
          <w:iCs/>
          <w:color w:val="000000"/>
          <w:sz w:val="20"/>
          <w:szCs w:val="24"/>
        </w:rPr>
        <w:t xml:space="preserve">achieve a better alignment of live animal export regulatory functions across relevant </w:t>
      </w:r>
      <w:r w:rsidR="00E234FF" w:rsidRPr="008E3B98">
        <w:rPr>
          <w:rFonts w:eastAsia="Times New Roman"/>
          <w:iCs/>
          <w:color w:val="000000"/>
          <w:sz w:val="20"/>
          <w:szCs w:val="24"/>
        </w:rPr>
        <w:t>areas</w:t>
      </w:r>
      <w:r w:rsidR="00E234FF">
        <w:rPr>
          <w:rFonts w:eastAsia="Times New Roman"/>
          <w:iCs/>
          <w:color w:val="000000"/>
          <w:sz w:val="20"/>
          <w:szCs w:val="24"/>
        </w:rPr>
        <w:t xml:space="preserve"> </w:t>
      </w:r>
      <w:r w:rsidRPr="008E3B98">
        <w:rPr>
          <w:rFonts w:eastAsia="Times New Roman"/>
          <w:iCs/>
          <w:color w:val="000000"/>
          <w:sz w:val="20"/>
          <w:szCs w:val="24"/>
        </w:rPr>
        <w:t>of the department, to deliver a well-connected and coordinated regulatory approach</w:t>
      </w:r>
      <w:r w:rsidR="00E234FF" w:rsidRPr="008E3B98">
        <w:rPr>
          <w:rFonts w:eastAsia="Times New Roman"/>
          <w:iCs/>
          <w:color w:val="000000"/>
          <w:sz w:val="20"/>
          <w:szCs w:val="24"/>
        </w:rPr>
        <w:t>,</w:t>
      </w:r>
      <w:r w:rsidR="00E234FF">
        <w:rPr>
          <w:rFonts w:eastAsia="Times New Roman"/>
          <w:iCs/>
          <w:color w:val="000000"/>
          <w:sz w:val="20"/>
          <w:szCs w:val="24"/>
        </w:rPr>
        <w:t xml:space="preserve"> </w:t>
      </w:r>
      <w:r w:rsidRPr="008E3B98">
        <w:rPr>
          <w:rFonts w:eastAsia="Times New Roman"/>
          <w:iCs/>
          <w:color w:val="000000"/>
          <w:sz w:val="20"/>
          <w:szCs w:val="24"/>
        </w:rPr>
        <w:t xml:space="preserve">and enable a more consistent and effective response to non-compliance. </w:t>
      </w:r>
      <w:r w:rsidR="00E234FF" w:rsidRPr="008E3B98">
        <w:rPr>
          <w:rFonts w:eastAsia="Times New Roman"/>
          <w:iCs/>
          <w:color w:val="000000"/>
          <w:sz w:val="20"/>
          <w:szCs w:val="24"/>
        </w:rPr>
        <w:t>The</w:t>
      </w:r>
      <w:r w:rsidR="00E234FF">
        <w:rPr>
          <w:rFonts w:eastAsia="Times New Roman"/>
          <w:iCs/>
          <w:color w:val="000000"/>
          <w:sz w:val="20"/>
          <w:szCs w:val="24"/>
        </w:rPr>
        <w:t xml:space="preserve"> </w:t>
      </w:r>
      <w:r w:rsidRPr="008E3B98">
        <w:rPr>
          <w:rFonts w:eastAsia="Times New Roman"/>
          <w:iCs/>
          <w:color w:val="000000"/>
          <w:sz w:val="20"/>
          <w:szCs w:val="24"/>
        </w:rPr>
        <w:t xml:space="preserve">appointment of </w:t>
      </w:r>
      <w:r w:rsidR="00E234FF" w:rsidRPr="008E3B98">
        <w:rPr>
          <w:rFonts w:eastAsia="Times New Roman"/>
          <w:iCs/>
          <w:color w:val="000000"/>
          <w:sz w:val="20"/>
          <w:szCs w:val="24"/>
        </w:rPr>
        <w:t>a</w:t>
      </w:r>
      <w:r w:rsidR="00E234FF">
        <w:rPr>
          <w:rFonts w:eastAsia="Times New Roman"/>
          <w:iCs/>
          <w:color w:val="000000"/>
          <w:sz w:val="20"/>
          <w:szCs w:val="24"/>
        </w:rPr>
        <w:t xml:space="preserve"> </w:t>
      </w:r>
      <w:r w:rsidRPr="008E3B98">
        <w:rPr>
          <w:rFonts w:eastAsia="Times New Roman"/>
          <w:iCs/>
          <w:color w:val="000000"/>
          <w:sz w:val="20"/>
          <w:szCs w:val="24"/>
        </w:rPr>
        <w:t>Principal Regulatory Officer will be central to addressing this in</w:t>
      </w:r>
      <w:r w:rsidR="00E234FF">
        <w:rPr>
          <w:rFonts w:eastAsia="Times New Roman"/>
          <w:iCs/>
          <w:color w:val="000000"/>
          <w:sz w:val="20"/>
          <w:szCs w:val="24"/>
        </w:rPr>
        <w:t xml:space="preserve"> </w:t>
      </w:r>
      <w:r w:rsidRPr="008E3B98">
        <w:rPr>
          <w:rFonts w:eastAsia="Times New Roman"/>
          <w:iCs/>
          <w:color w:val="000000"/>
          <w:sz w:val="20"/>
          <w:szCs w:val="24"/>
        </w:rPr>
        <w:t>practice (</w:t>
      </w:r>
      <w:r w:rsidRPr="001D71C2">
        <w:rPr>
          <w:rFonts w:eastAsia="Times New Roman"/>
          <w:iCs/>
          <w:color w:val="000000"/>
          <w:sz w:val="20"/>
          <w:szCs w:val="24"/>
        </w:rPr>
        <w:t>Department of Agriculture and Water Resources 2018).</w:t>
      </w:r>
    </w:p>
    <w:p w14:paraId="46306FCE" w14:textId="5F1A3632" w:rsidR="00FD1BB1" w:rsidRPr="00127722" w:rsidRDefault="005E000E" w:rsidP="000E18D8">
      <w:pPr>
        <w:pStyle w:val="BoxHeading"/>
      </w:pPr>
      <w:r w:rsidRPr="00127722">
        <w:t xml:space="preserve">Moss </w:t>
      </w:r>
      <w:r w:rsidR="00917E8F">
        <w:t xml:space="preserve">Review </w:t>
      </w:r>
      <w:r w:rsidRPr="00127722">
        <w:t>r</w:t>
      </w:r>
      <w:r w:rsidR="008E3B98" w:rsidRPr="00141865">
        <w:t xml:space="preserve">ecommendation </w:t>
      </w:r>
      <w:r w:rsidR="00146C82" w:rsidRPr="00146C82">
        <w:t>3</w:t>
      </w:r>
    </w:p>
    <w:p w14:paraId="64015397" w14:textId="0787DFD6" w:rsidR="00FD1BB1" w:rsidRPr="008E3B98" w:rsidRDefault="008E3B98" w:rsidP="000E18D8">
      <w:pPr>
        <w:pStyle w:val="BoxText"/>
      </w:pPr>
      <w:r w:rsidRPr="008E3B98">
        <w:t>That the department work with the live animal export industry to develop comprehensive animal welfare indicators relating to every point of the export supply chain and for those indicators to become part of the regulatory framework.</w:t>
      </w:r>
    </w:p>
    <w:p w14:paraId="7D707B48" w14:textId="77777777" w:rsidR="0024760B" w:rsidRPr="00750275" w:rsidRDefault="0024760B" w:rsidP="0024760B">
      <w:pPr>
        <w:pStyle w:val="BoxText"/>
        <w:rPr>
          <w:rStyle w:val="Strong"/>
        </w:rPr>
      </w:pPr>
      <w:r w:rsidRPr="000E18D8">
        <w:rPr>
          <w:rStyle w:val="Strong"/>
        </w:rPr>
        <w:t>Implementation status</w:t>
      </w:r>
    </w:p>
    <w:p w14:paraId="008795D2" w14:textId="195956BF" w:rsidR="008E3B98" w:rsidRPr="00750275" w:rsidRDefault="008E3B98" w:rsidP="00750275">
      <w:pPr>
        <w:pStyle w:val="BoxTextBullet"/>
      </w:pPr>
      <w:r w:rsidRPr="00750275">
        <w:t xml:space="preserve">Department’s </w:t>
      </w:r>
      <w:r w:rsidR="006932ED" w:rsidRPr="00750275">
        <w:t>assessment</w:t>
      </w:r>
      <w:r w:rsidRPr="00750275">
        <w:t>: In progress</w:t>
      </w:r>
    </w:p>
    <w:p w14:paraId="33425903" w14:textId="6C8E4C0D" w:rsidR="00FD1BB1" w:rsidRPr="00322903" w:rsidRDefault="008A5824" w:rsidP="00750275">
      <w:pPr>
        <w:pStyle w:val="BoxTextBullet"/>
      </w:pPr>
      <w:r>
        <w:t>Inspector-</w:t>
      </w:r>
      <w:r w:rsidR="00B34E24">
        <w:t>g</w:t>
      </w:r>
      <w:r>
        <w:t>eneral’s assessment:</w:t>
      </w:r>
      <w:r w:rsidR="00FD1BB1" w:rsidRPr="00750275">
        <w:t xml:space="preserve"> In progress</w:t>
      </w:r>
    </w:p>
    <w:p w14:paraId="152B78A5" w14:textId="5FDBBFCD" w:rsidR="003B6461" w:rsidRDefault="003B6461" w:rsidP="00CA5D1C">
      <w:pPr>
        <w:pStyle w:val="Heading4"/>
      </w:pPr>
      <w:r>
        <w:t>Department’s response: Support</w:t>
      </w:r>
      <w:r w:rsidR="0084123D">
        <w:t xml:space="preserve"> in principle</w:t>
      </w:r>
    </w:p>
    <w:p w14:paraId="6C8B3BAE" w14:textId="749C65E4" w:rsidR="008E3B98" w:rsidRPr="008E3B98" w:rsidRDefault="008E3B98" w:rsidP="008E3B98">
      <w:r w:rsidRPr="008E3B98">
        <w:t xml:space="preserve">Under the industry’s Livestock Export Program, </w:t>
      </w:r>
      <w:r w:rsidR="00DE15E5">
        <w:t xml:space="preserve">the </w:t>
      </w:r>
      <w:r w:rsidR="00DE15E5" w:rsidRPr="00DE15E5">
        <w:t xml:space="preserve">Australian Livestock Export Corporation </w:t>
      </w:r>
      <w:r w:rsidR="00DE15E5">
        <w:t>(</w:t>
      </w:r>
      <w:r w:rsidRPr="008E3B98">
        <w:t>LiveCorp</w:t>
      </w:r>
      <w:r w:rsidR="00DE15E5">
        <w:t>)</w:t>
      </w:r>
      <w:r w:rsidRPr="008E3B98">
        <w:t xml:space="preserve"> and Meat &amp; Livestock Australia (MLA) jointly fund a research project to establish a set of animal welfare indicators for every point of the export supply chain. Components completed so far include:</w:t>
      </w:r>
    </w:p>
    <w:p w14:paraId="0EB2963C" w14:textId="7487323A" w:rsidR="000975F5" w:rsidRDefault="008E3B98" w:rsidP="008E3B98">
      <w:pPr>
        <w:numPr>
          <w:ilvl w:val="0"/>
          <w:numId w:val="6"/>
        </w:numPr>
        <w:spacing w:after="120"/>
      </w:pPr>
      <w:r w:rsidRPr="008E3B98">
        <w:t>a survey of stakeholders about animal welfare indicators</w:t>
      </w:r>
    </w:p>
    <w:p w14:paraId="4A66433B" w14:textId="77777777" w:rsidR="008E3B98" w:rsidRPr="008E3B98" w:rsidRDefault="008E3B98" w:rsidP="008E3B98">
      <w:pPr>
        <w:numPr>
          <w:ilvl w:val="0"/>
          <w:numId w:val="6"/>
        </w:numPr>
        <w:spacing w:after="120"/>
      </w:pPr>
      <w:r w:rsidRPr="008E3B98">
        <w:t>a review of the literature on available indicators suitable for the live animal exports industry</w:t>
      </w:r>
    </w:p>
    <w:p w14:paraId="502E1948" w14:textId="6A5BB1E1" w:rsidR="008E3B98" w:rsidRPr="008E3B98" w:rsidRDefault="008E3B98" w:rsidP="008E3B98">
      <w:pPr>
        <w:numPr>
          <w:ilvl w:val="0"/>
          <w:numId w:val="6"/>
        </w:numPr>
        <w:spacing w:after="120"/>
      </w:pPr>
      <w:r w:rsidRPr="008E3B98">
        <w:t xml:space="preserve">development of a protocol that is potentially applicable for pen assessments </w:t>
      </w:r>
      <w:r w:rsidR="000714AE">
        <w:t>of</w:t>
      </w:r>
      <w:r w:rsidRPr="008E3B98">
        <w:t xml:space="preserve"> cattle and sheep at pre-export and destination feedlot facilities and during sea transport.</w:t>
      </w:r>
    </w:p>
    <w:p w14:paraId="138CB9BF" w14:textId="77777777" w:rsidR="008E3B98" w:rsidRPr="008E3B98" w:rsidRDefault="008E3B98" w:rsidP="008E3B98">
      <w:r w:rsidRPr="008E3B98">
        <w:t>Proposing a protocol is the first step towards developing a system that evaluates livestock welfare throughout the export supply chain. The project is due for completion in 2021.</w:t>
      </w:r>
    </w:p>
    <w:p w14:paraId="18BE9F05" w14:textId="48D60765" w:rsidR="008E3B98" w:rsidRPr="008E3B98" w:rsidRDefault="008E3B98" w:rsidP="008E3B98">
      <w:r w:rsidRPr="008E3B98">
        <w:t xml:space="preserve">The department engages regularly with industry, LiveCorp and MLA through the </w:t>
      </w:r>
      <w:r w:rsidRPr="00350977">
        <w:t>Live Export Animal Welfare Collaboration Working Group</w:t>
      </w:r>
      <w:r w:rsidR="00E234FF" w:rsidRPr="00350977">
        <w:t>.</w:t>
      </w:r>
      <w:r w:rsidR="00E234FF">
        <w:t xml:space="preserve"> The group</w:t>
      </w:r>
      <w:r w:rsidRPr="008E3B98">
        <w:t xml:space="preserve"> report</w:t>
      </w:r>
      <w:r w:rsidR="00E234FF">
        <w:t>s</w:t>
      </w:r>
      <w:r w:rsidRPr="008E3B98">
        <w:t xml:space="preserve"> on research </w:t>
      </w:r>
      <w:r w:rsidR="000714AE">
        <w:t>into</w:t>
      </w:r>
      <w:r w:rsidRPr="008E3B98">
        <w:t xml:space="preserve"> animal welfare indicators </w:t>
      </w:r>
      <w:r w:rsidR="00E9116F">
        <w:t xml:space="preserve">as </w:t>
      </w:r>
      <w:r w:rsidRPr="008E3B98">
        <w:t>a stand</w:t>
      </w:r>
      <w:r w:rsidR="00915AF2">
        <w:t xml:space="preserve">ing </w:t>
      </w:r>
      <w:r w:rsidRPr="008E3B98">
        <w:t>agenda item.</w:t>
      </w:r>
    </w:p>
    <w:p w14:paraId="63E732FE" w14:textId="23DBABA0" w:rsidR="008E3B98" w:rsidRPr="008E3B98" w:rsidRDefault="008E3B98" w:rsidP="008E3B98">
      <w:r w:rsidRPr="008E3B98">
        <w:t>Industry’s Livestock Export Research and Development Advisory Committee</w:t>
      </w:r>
      <w:r w:rsidR="00E234FF">
        <w:t xml:space="preserve"> comprises</w:t>
      </w:r>
      <w:r w:rsidRPr="008E3B98">
        <w:t xml:space="preserve"> producer and exporter representatives nominated by the peak industry councils, an independent technical advisor, </w:t>
      </w:r>
      <w:r w:rsidR="00AA44A4">
        <w:t>and more recently</w:t>
      </w:r>
      <w:r w:rsidRPr="008E3B98">
        <w:t xml:space="preserve"> a departmental observer.</w:t>
      </w:r>
      <w:r w:rsidR="00E9116F">
        <w:t xml:space="preserve"> </w:t>
      </w:r>
      <w:r w:rsidR="00563B6B">
        <w:t>The committee</w:t>
      </w:r>
      <w:r w:rsidR="00E9116F">
        <w:t xml:space="preserve"> overse</w:t>
      </w:r>
      <w:r w:rsidR="00AA44A4">
        <w:t>e</w:t>
      </w:r>
      <w:r w:rsidR="00E9116F">
        <w:t>s industry research</w:t>
      </w:r>
      <w:r w:rsidR="00957A03">
        <w:t>,</w:t>
      </w:r>
      <w:r w:rsidR="00E9116F">
        <w:t xml:space="preserve"> including </w:t>
      </w:r>
      <w:r w:rsidR="00947EE1">
        <w:t xml:space="preserve">into </w:t>
      </w:r>
      <w:r w:rsidR="00E9116F">
        <w:t>animal welfare indicators.</w:t>
      </w:r>
    </w:p>
    <w:p w14:paraId="111C6D90" w14:textId="2B24045C" w:rsidR="00146C82" w:rsidRPr="00B640A1" w:rsidRDefault="00146C82" w:rsidP="00E437BF">
      <w:pPr>
        <w:pStyle w:val="Heading4"/>
      </w:pPr>
      <w:r w:rsidRPr="00B640A1">
        <w:lastRenderedPageBreak/>
        <w:t>Inspector-</w:t>
      </w:r>
      <w:r w:rsidR="00E746D9">
        <w:t>g</w:t>
      </w:r>
      <w:r w:rsidRPr="00B640A1">
        <w:t>eneral</w:t>
      </w:r>
      <w:r w:rsidR="008515DB" w:rsidRPr="00B640A1">
        <w:t>’s</w:t>
      </w:r>
      <w:r w:rsidRPr="00B640A1">
        <w:t xml:space="preserve"> assessment</w:t>
      </w:r>
    </w:p>
    <w:p w14:paraId="7E4E5991" w14:textId="2B916824" w:rsidR="008E3B98" w:rsidRPr="008E3B98" w:rsidRDefault="008E3B98" w:rsidP="008E3B98">
      <w:pPr>
        <w:rPr>
          <w:bCs/>
        </w:rPr>
      </w:pPr>
      <w:r w:rsidRPr="008E3B98">
        <w:rPr>
          <w:bCs/>
        </w:rPr>
        <w:t xml:space="preserve">Mortality </w:t>
      </w:r>
      <w:r w:rsidRPr="00957A03">
        <w:rPr>
          <w:bCs/>
        </w:rPr>
        <w:t>rates on board livestock</w:t>
      </w:r>
      <w:r w:rsidRPr="008E3B98">
        <w:rPr>
          <w:bCs/>
        </w:rPr>
        <w:t xml:space="preserve"> vessels </w:t>
      </w:r>
      <w:r w:rsidR="00E9116F">
        <w:rPr>
          <w:bCs/>
        </w:rPr>
        <w:t>remain</w:t>
      </w:r>
      <w:r w:rsidRPr="008E3B98">
        <w:rPr>
          <w:bCs/>
        </w:rPr>
        <w:t xml:space="preserve"> the </w:t>
      </w:r>
      <w:r w:rsidR="00E57A8C">
        <w:rPr>
          <w:bCs/>
        </w:rPr>
        <w:t>primary indicator of</w:t>
      </w:r>
      <w:r w:rsidRPr="008E3B98">
        <w:rPr>
          <w:bCs/>
        </w:rPr>
        <w:t xml:space="preserve"> animal health and welfare </w:t>
      </w:r>
      <w:r w:rsidR="008E7414">
        <w:rPr>
          <w:bCs/>
        </w:rPr>
        <w:t xml:space="preserve">outcomes for </w:t>
      </w:r>
      <w:r w:rsidR="00E57A8C">
        <w:rPr>
          <w:bCs/>
        </w:rPr>
        <w:t>consignment</w:t>
      </w:r>
      <w:r w:rsidR="008E7414">
        <w:rPr>
          <w:bCs/>
        </w:rPr>
        <w:t>s</w:t>
      </w:r>
      <w:r w:rsidRPr="008E3B98">
        <w:rPr>
          <w:bCs/>
        </w:rPr>
        <w:t xml:space="preserve"> used by the department and industry. </w:t>
      </w:r>
      <w:r w:rsidR="00957A03">
        <w:rPr>
          <w:bCs/>
        </w:rPr>
        <w:t>It</w:t>
      </w:r>
      <w:r w:rsidRPr="008E3B98">
        <w:rPr>
          <w:bCs/>
        </w:rPr>
        <w:t xml:space="preserve"> </w:t>
      </w:r>
      <w:r w:rsidR="008E7414">
        <w:rPr>
          <w:bCs/>
        </w:rPr>
        <w:t xml:space="preserve">is an important </w:t>
      </w:r>
      <w:r w:rsidR="001B7F3F">
        <w:rPr>
          <w:bCs/>
        </w:rPr>
        <w:t xml:space="preserve">outcome </w:t>
      </w:r>
      <w:r w:rsidRPr="008E3B98">
        <w:rPr>
          <w:bCs/>
        </w:rPr>
        <w:t>i</w:t>
      </w:r>
      <w:r w:rsidR="00E9116F">
        <w:rPr>
          <w:bCs/>
        </w:rPr>
        <w:t>ndicator</w:t>
      </w:r>
      <w:r w:rsidR="00957A03">
        <w:rPr>
          <w:bCs/>
        </w:rPr>
        <w:t>, but</w:t>
      </w:r>
      <w:r w:rsidR="008E7414">
        <w:rPr>
          <w:bCs/>
        </w:rPr>
        <w:t xml:space="preserve"> it</w:t>
      </w:r>
      <w:r w:rsidR="00E9116F">
        <w:rPr>
          <w:bCs/>
        </w:rPr>
        <w:t xml:space="preserve"> is</w:t>
      </w:r>
      <w:r w:rsidRPr="008E3B98">
        <w:rPr>
          <w:bCs/>
        </w:rPr>
        <w:t xml:space="preserve"> not an indicator of </w:t>
      </w:r>
      <w:r w:rsidR="008E7414">
        <w:rPr>
          <w:bCs/>
        </w:rPr>
        <w:t xml:space="preserve">individual </w:t>
      </w:r>
      <w:r w:rsidR="00E9116F">
        <w:rPr>
          <w:bCs/>
        </w:rPr>
        <w:t>animal health and welfare</w:t>
      </w:r>
      <w:r w:rsidR="001B7F3F">
        <w:rPr>
          <w:bCs/>
        </w:rPr>
        <w:t xml:space="preserve"> across a consignment</w:t>
      </w:r>
      <w:r w:rsidRPr="008E3B98">
        <w:rPr>
          <w:bCs/>
        </w:rPr>
        <w:t>.</w:t>
      </w:r>
    </w:p>
    <w:p w14:paraId="79EC4F51" w14:textId="54D3C47A" w:rsidR="00DB0485" w:rsidRDefault="00957A03" w:rsidP="00E9116F">
      <w:pPr>
        <w:rPr>
          <w:bCs/>
        </w:rPr>
      </w:pPr>
      <w:r>
        <w:rPr>
          <w:bCs/>
        </w:rPr>
        <w:t>T</w:t>
      </w:r>
      <w:r w:rsidR="00DB0485">
        <w:rPr>
          <w:bCs/>
        </w:rPr>
        <w:t xml:space="preserve">he department and industry are using a range of quantitative </w:t>
      </w:r>
      <w:r>
        <w:rPr>
          <w:bCs/>
        </w:rPr>
        <w:t xml:space="preserve">indicators </w:t>
      </w:r>
      <w:r w:rsidR="00DB0485">
        <w:rPr>
          <w:bCs/>
        </w:rPr>
        <w:t>(</w:t>
      </w:r>
      <w:r w:rsidR="001B7F3F">
        <w:rPr>
          <w:bCs/>
        </w:rPr>
        <w:t xml:space="preserve">for example, </w:t>
      </w:r>
      <w:r w:rsidR="00DB0485">
        <w:rPr>
          <w:bCs/>
        </w:rPr>
        <w:t xml:space="preserve">dry and wet bulb temperatures) and qualitative </w:t>
      </w:r>
      <w:r>
        <w:rPr>
          <w:bCs/>
        </w:rPr>
        <w:t xml:space="preserve">indicators </w:t>
      </w:r>
      <w:r w:rsidR="00DB0485">
        <w:rPr>
          <w:bCs/>
        </w:rPr>
        <w:t>(</w:t>
      </w:r>
      <w:r w:rsidR="001B7F3F">
        <w:rPr>
          <w:bCs/>
        </w:rPr>
        <w:t>for example,</w:t>
      </w:r>
      <w:r w:rsidR="00EC1FA3">
        <w:rPr>
          <w:bCs/>
        </w:rPr>
        <w:t xml:space="preserve"> stocking density,</w:t>
      </w:r>
      <w:r w:rsidR="001B7F3F">
        <w:rPr>
          <w:bCs/>
        </w:rPr>
        <w:t xml:space="preserve"> </w:t>
      </w:r>
      <w:r w:rsidR="00DB0485">
        <w:rPr>
          <w:bCs/>
        </w:rPr>
        <w:t>pad conditions and panting scores)</w:t>
      </w:r>
      <w:r w:rsidR="009C6E36">
        <w:rPr>
          <w:bCs/>
        </w:rPr>
        <w:t xml:space="preserve"> to assess animal welfare conditions</w:t>
      </w:r>
      <w:r w:rsidR="001B7F3F">
        <w:rPr>
          <w:bCs/>
        </w:rPr>
        <w:t xml:space="preserve"> and risks</w:t>
      </w:r>
      <w:r w:rsidR="00DB0485">
        <w:rPr>
          <w:bCs/>
        </w:rPr>
        <w:t xml:space="preserve"> </w:t>
      </w:r>
      <w:r w:rsidR="009C6E36">
        <w:rPr>
          <w:bCs/>
        </w:rPr>
        <w:t>on board livestock vessels.</w:t>
      </w:r>
    </w:p>
    <w:p w14:paraId="7B43795B" w14:textId="1E4D5A99" w:rsidR="00CE2F0E" w:rsidRDefault="006C44F3" w:rsidP="00E9116F">
      <w:pPr>
        <w:rPr>
          <w:bCs/>
        </w:rPr>
      </w:pPr>
      <w:r w:rsidRPr="006C44F3">
        <w:rPr>
          <w:bCs/>
        </w:rPr>
        <w:t xml:space="preserve">The </w:t>
      </w:r>
      <w:r w:rsidR="00A36FDA">
        <w:rPr>
          <w:bCs/>
        </w:rPr>
        <w:t>i</w:t>
      </w:r>
      <w:r w:rsidR="00CA0503">
        <w:rPr>
          <w:bCs/>
        </w:rPr>
        <w:t>nspector-</w:t>
      </w:r>
      <w:r w:rsidR="00A36FDA">
        <w:rPr>
          <w:bCs/>
        </w:rPr>
        <w:t>g</w:t>
      </w:r>
      <w:r w:rsidR="00CA0503">
        <w:rPr>
          <w:bCs/>
        </w:rPr>
        <w:t xml:space="preserve">eneral </w:t>
      </w:r>
      <w:r w:rsidRPr="006C44F3">
        <w:rPr>
          <w:bCs/>
        </w:rPr>
        <w:t>noted in the</w:t>
      </w:r>
      <w:r w:rsidR="00FD1BB1">
        <w:rPr>
          <w:bCs/>
        </w:rPr>
        <w:t xml:space="preserve"> </w:t>
      </w:r>
      <w:hyperlink r:id="rId24" w:history="1">
        <w:r w:rsidR="00FD1BB1">
          <w:rPr>
            <w:rStyle w:val="Hyperlink"/>
            <w:bCs/>
          </w:rPr>
          <w:t>Monitoring and reporting during livestock export voyages</w:t>
        </w:r>
      </w:hyperlink>
      <w:r w:rsidRPr="006C44F3">
        <w:rPr>
          <w:bCs/>
        </w:rPr>
        <w:t xml:space="preserve"> review that qualitative data is usually collected through either direct observation or</w:t>
      </w:r>
      <w:r w:rsidR="004F25D9">
        <w:rPr>
          <w:bCs/>
        </w:rPr>
        <w:t xml:space="preserve"> </w:t>
      </w:r>
      <w:r w:rsidR="00B02362">
        <w:rPr>
          <w:bCs/>
        </w:rPr>
        <w:t>p</w:t>
      </w:r>
      <w:r w:rsidRPr="006C44F3">
        <w:rPr>
          <w:bCs/>
        </w:rPr>
        <w:t>hotographic and video recordings. The report also recommended that</w:t>
      </w:r>
      <w:r>
        <w:rPr>
          <w:bCs/>
        </w:rPr>
        <w:t xml:space="preserve"> </w:t>
      </w:r>
      <w:r w:rsidR="00957A03" w:rsidRPr="00CE2F0E">
        <w:rPr>
          <w:bCs/>
        </w:rPr>
        <w:t>to reduce subjectivity</w:t>
      </w:r>
      <w:r w:rsidR="00957A03">
        <w:rPr>
          <w:bCs/>
        </w:rPr>
        <w:t xml:space="preserve"> </w:t>
      </w:r>
      <w:r>
        <w:rPr>
          <w:bCs/>
        </w:rPr>
        <w:t xml:space="preserve">a future data quality and management strategy </w:t>
      </w:r>
      <w:r w:rsidR="00CE2F0E" w:rsidRPr="00CE2F0E">
        <w:rPr>
          <w:bCs/>
        </w:rPr>
        <w:t>include actions to develop detailed guidance and training resources for all qualitative data</w:t>
      </w:r>
      <w:r>
        <w:rPr>
          <w:bCs/>
        </w:rPr>
        <w:t>.</w:t>
      </w:r>
    </w:p>
    <w:p w14:paraId="26AECC8F" w14:textId="3804AA1F" w:rsidR="008E3B98" w:rsidRPr="008E3B98" w:rsidRDefault="008E3B98" w:rsidP="008E3B98">
      <w:pPr>
        <w:rPr>
          <w:bCs/>
        </w:rPr>
      </w:pPr>
      <w:r w:rsidRPr="008E3B98">
        <w:rPr>
          <w:bCs/>
        </w:rPr>
        <w:t xml:space="preserve">The </w:t>
      </w:r>
      <w:r w:rsidR="00A36FDA">
        <w:rPr>
          <w:bCs/>
        </w:rPr>
        <w:t>i</w:t>
      </w:r>
      <w:r w:rsidR="00BA11B4">
        <w:rPr>
          <w:bCs/>
        </w:rPr>
        <w:t>nspector-</w:t>
      </w:r>
      <w:r w:rsidR="00A36FDA">
        <w:rPr>
          <w:bCs/>
        </w:rPr>
        <w:t>g</w:t>
      </w:r>
      <w:r w:rsidR="00BA11B4">
        <w:rPr>
          <w:bCs/>
        </w:rPr>
        <w:t>eneral</w:t>
      </w:r>
      <w:r w:rsidR="008E7414">
        <w:rPr>
          <w:bCs/>
        </w:rPr>
        <w:t xml:space="preserve"> considers</w:t>
      </w:r>
      <w:r w:rsidRPr="008E3B98">
        <w:rPr>
          <w:bCs/>
        </w:rPr>
        <w:t xml:space="preserve"> that</w:t>
      </w:r>
      <w:r w:rsidR="008E7414">
        <w:rPr>
          <w:bCs/>
        </w:rPr>
        <w:t>,</w:t>
      </w:r>
      <w:r w:rsidRPr="008E3B98">
        <w:rPr>
          <w:bCs/>
        </w:rPr>
        <w:t xml:space="preserve"> while research and development evolve</w:t>
      </w:r>
      <w:r w:rsidR="001B7F3F">
        <w:rPr>
          <w:bCs/>
        </w:rPr>
        <w:t>s</w:t>
      </w:r>
      <w:r w:rsidRPr="008E3B98">
        <w:rPr>
          <w:bCs/>
        </w:rPr>
        <w:t xml:space="preserve">, industry and the </w:t>
      </w:r>
      <w:r w:rsidR="008E7414">
        <w:rPr>
          <w:bCs/>
        </w:rPr>
        <w:t>department</w:t>
      </w:r>
      <w:r w:rsidRPr="008E3B98">
        <w:rPr>
          <w:bCs/>
        </w:rPr>
        <w:t xml:space="preserve"> should </w:t>
      </w:r>
      <w:r w:rsidR="008E7414">
        <w:rPr>
          <w:bCs/>
        </w:rPr>
        <w:t xml:space="preserve">continue to </w:t>
      </w:r>
      <w:r w:rsidRPr="008E3B98">
        <w:rPr>
          <w:bCs/>
        </w:rPr>
        <w:t>focus effort on active risk management</w:t>
      </w:r>
      <w:r w:rsidR="00704CFA">
        <w:rPr>
          <w:bCs/>
        </w:rPr>
        <w:t>. This should be</w:t>
      </w:r>
      <w:r w:rsidRPr="008E3B98">
        <w:rPr>
          <w:bCs/>
        </w:rPr>
        <w:t xml:space="preserve"> </w:t>
      </w:r>
      <w:r w:rsidR="001B7F3F">
        <w:rPr>
          <w:bCs/>
        </w:rPr>
        <w:t>informed by</w:t>
      </w:r>
      <w:r w:rsidRPr="008E3B98">
        <w:rPr>
          <w:bCs/>
        </w:rPr>
        <w:t xml:space="preserve"> known risk factors to </w:t>
      </w:r>
      <w:r w:rsidR="000714AE">
        <w:rPr>
          <w:bCs/>
        </w:rPr>
        <w:t>ensure</w:t>
      </w:r>
      <w:r w:rsidRPr="008E3B98">
        <w:rPr>
          <w:bCs/>
        </w:rPr>
        <w:t xml:space="preserve"> </w:t>
      </w:r>
      <w:r w:rsidR="008B722B" w:rsidRPr="008E3B98">
        <w:rPr>
          <w:bCs/>
        </w:rPr>
        <w:t>consistency</w:t>
      </w:r>
      <w:r w:rsidRPr="008E3B98">
        <w:rPr>
          <w:bCs/>
        </w:rPr>
        <w:t xml:space="preserve"> of good animal welfare outcomes. </w:t>
      </w:r>
      <w:r w:rsidR="008E7414">
        <w:rPr>
          <w:bCs/>
        </w:rPr>
        <w:t>C</w:t>
      </w:r>
      <w:r w:rsidR="00D053FC">
        <w:rPr>
          <w:bCs/>
        </w:rPr>
        <w:t xml:space="preserve">ollaboration </w:t>
      </w:r>
      <w:r w:rsidR="00704CFA">
        <w:rPr>
          <w:bCs/>
        </w:rPr>
        <w:t xml:space="preserve">should continue </w:t>
      </w:r>
      <w:r w:rsidR="00D053FC">
        <w:rPr>
          <w:bCs/>
        </w:rPr>
        <w:t xml:space="preserve">between the </w:t>
      </w:r>
      <w:r w:rsidR="008E7414" w:rsidRPr="00DE15E5">
        <w:rPr>
          <w:bCs/>
        </w:rPr>
        <w:t>department’s</w:t>
      </w:r>
      <w:r w:rsidR="00D053FC" w:rsidRPr="00DE15E5">
        <w:rPr>
          <w:bCs/>
        </w:rPr>
        <w:t xml:space="preserve"> Animal Welfare Branch </w:t>
      </w:r>
      <w:r w:rsidR="00146C82" w:rsidRPr="00146C82">
        <w:rPr>
          <w:bCs/>
        </w:rPr>
        <w:t>and LiveCorp</w:t>
      </w:r>
      <w:r w:rsidR="000714AE">
        <w:rPr>
          <w:bCs/>
        </w:rPr>
        <w:t xml:space="preserve"> </w:t>
      </w:r>
      <w:r w:rsidR="008F5E22">
        <w:rPr>
          <w:bCs/>
        </w:rPr>
        <w:t>t</w:t>
      </w:r>
      <w:r w:rsidR="001B7F3F">
        <w:rPr>
          <w:bCs/>
        </w:rPr>
        <w:t xml:space="preserve">o further develop animal welfare indicators. </w:t>
      </w:r>
      <w:r w:rsidR="00704CFA">
        <w:rPr>
          <w:bCs/>
        </w:rPr>
        <w:t>T</w:t>
      </w:r>
      <w:r w:rsidR="001B7F3F">
        <w:rPr>
          <w:bCs/>
        </w:rPr>
        <w:t xml:space="preserve">his should </w:t>
      </w:r>
      <w:r w:rsidR="00704CFA">
        <w:rPr>
          <w:bCs/>
        </w:rPr>
        <w:t>enable</w:t>
      </w:r>
      <w:r w:rsidR="008E7414">
        <w:rPr>
          <w:bCs/>
        </w:rPr>
        <w:t xml:space="preserve"> the department </w:t>
      </w:r>
      <w:r w:rsidR="001B7F3F">
        <w:rPr>
          <w:bCs/>
        </w:rPr>
        <w:t>to incorporate improved indicators</w:t>
      </w:r>
      <w:r w:rsidR="008E7414">
        <w:rPr>
          <w:bCs/>
        </w:rPr>
        <w:t xml:space="preserve"> in regulatory requirements</w:t>
      </w:r>
      <w:r w:rsidR="00D053FC">
        <w:rPr>
          <w:bCs/>
        </w:rPr>
        <w:t>.</w:t>
      </w:r>
      <w:r w:rsidR="008E7414">
        <w:rPr>
          <w:bCs/>
        </w:rPr>
        <w:t xml:space="preserve"> </w:t>
      </w:r>
      <w:r w:rsidR="00704CFA">
        <w:rPr>
          <w:bCs/>
        </w:rPr>
        <w:t>Transparency and access to the results of research will help</w:t>
      </w:r>
      <w:r w:rsidR="001B7F3F">
        <w:rPr>
          <w:bCs/>
        </w:rPr>
        <w:t xml:space="preserve"> underpin the credibility of this work and give effect to </w:t>
      </w:r>
      <w:r w:rsidR="006932ED">
        <w:rPr>
          <w:bCs/>
        </w:rPr>
        <w:t>Moss Review</w:t>
      </w:r>
      <w:r w:rsidR="001B7F3F">
        <w:rPr>
          <w:bCs/>
        </w:rPr>
        <w:t xml:space="preserve"> recommendation 28</w:t>
      </w:r>
      <w:r w:rsidR="00957106">
        <w:rPr>
          <w:bCs/>
        </w:rPr>
        <w:t>. Publishing</w:t>
      </w:r>
      <w:r w:rsidR="008E7414">
        <w:rPr>
          <w:bCs/>
        </w:rPr>
        <w:t xml:space="preserve"> research project outcomes and data</w:t>
      </w:r>
      <w:r w:rsidR="00957106">
        <w:rPr>
          <w:bCs/>
        </w:rPr>
        <w:t>, including through peer reviewed scientific journals,</w:t>
      </w:r>
      <w:r w:rsidR="00704CFA">
        <w:rPr>
          <w:bCs/>
        </w:rPr>
        <w:t xml:space="preserve"> helps ensure </w:t>
      </w:r>
      <w:r w:rsidR="001B7F3F">
        <w:rPr>
          <w:bCs/>
        </w:rPr>
        <w:t>transparency</w:t>
      </w:r>
      <w:r w:rsidR="00957106">
        <w:rPr>
          <w:bCs/>
        </w:rPr>
        <w:t xml:space="preserve"> (and is critical </w:t>
      </w:r>
      <w:r w:rsidR="00EE683E">
        <w:rPr>
          <w:bCs/>
        </w:rPr>
        <w:t xml:space="preserve">to </w:t>
      </w:r>
      <w:r w:rsidR="006932ED">
        <w:rPr>
          <w:bCs/>
        </w:rPr>
        <w:t>Moss Review</w:t>
      </w:r>
      <w:r w:rsidR="00D03C80">
        <w:rPr>
          <w:bCs/>
        </w:rPr>
        <w:t xml:space="preserve"> </w:t>
      </w:r>
      <w:r w:rsidR="00EE683E">
        <w:rPr>
          <w:bCs/>
        </w:rPr>
        <w:t>recommendation</w:t>
      </w:r>
      <w:r w:rsidR="00957106">
        <w:rPr>
          <w:bCs/>
        </w:rPr>
        <w:t xml:space="preserve"> 6).</w:t>
      </w:r>
    </w:p>
    <w:p w14:paraId="369BE5DF" w14:textId="67BBFE01" w:rsidR="00FD1BB1" w:rsidRDefault="005E000E" w:rsidP="00ED0649">
      <w:pPr>
        <w:pStyle w:val="BoxHeading"/>
      </w:pPr>
      <w:r>
        <w:t xml:space="preserve">Moss </w:t>
      </w:r>
      <w:r w:rsidR="00917E8F">
        <w:t xml:space="preserve">Review </w:t>
      </w:r>
      <w:r>
        <w:t>r</w:t>
      </w:r>
      <w:r w:rsidR="008E3B98" w:rsidRPr="008E3B98">
        <w:t>ecommendation 4</w:t>
      </w:r>
    </w:p>
    <w:p w14:paraId="1AEA3EC7" w14:textId="2E84F3F6" w:rsidR="008E3B98" w:rsidRPr="008E3B98" w:rsidRDefault="008E3B98" w:rsidP="00ED0649">
      <w:pPr>
        <w:pStyle w:val="BoxText"/>
      </w:pPr>
      <w:r w:rsidRPr="008E3B98">
        <w:t>That the department take steps to have the Australian Standards for the Export of Livestock prescribed as regulated standards, with appropriate penalties, for the purpose of strengthening the regulatory framework and encouraging compliance.</w:t>
      </w:r>
    </w:p>
    <w:p w14:paraId="6B93DE91" w14:textId="77777777" w:rsidR="0024760B" w:rsidRPr="00ED0649" w:rsidRDefault="0024760B" w:rsidP="0024760B">
      <w:pPr>
        <w:pStyle w:val="BoxText"/>
        <w:rPr>
          <w:rStyle w:val="Strong"/>
        </w:rPr>
      </w:pPr>
      <w:r w:rsidRPr="00ED0649">
        <w:rPr>
          <w:rStyle w:val="Strong"/>
        </w:rPr>
        <w:t>Implementation status</w:t>
      </w:r>
    </w:p>
    <w:p w14:paraId="27770DF2" w14:textId="3CC72AB9" w:rsidR="008E3B98" w:rsidRPr="00393EE6" w:rsidRDefault="008E3B98" w:rsidP="00ED0649">
      <w:pPr>
        <w:pStyle w:val="BoxTextBullet"/>
      </w:pPr>
      <w:r w:rsidRPr="00ED0649">
        <w:t xml:space="preserve">Department’s </w:t>
      </w:r>
      <w:r w:rsidR="006932ED" w:rsidRPr="00ED0649">
        <w:t>assessment</w:t>
      </w:r>
      <w:r w:rsidRPr="00ED0649">
        <w:t xml:space="preserve">: </w:t>
      </w:r>
      <w:r w:rsidR="00D17BBE">
        <w:t>In progress</w:t>
      </w:r>
    </w:p>
    <w:p w14:paraId="4EB7D182" w14:textId="27DFFFA3" w:rsidR="00FD1BB1" w:rsidRPr="007A5762" w:rsidRDefault="008A5824" w:rsidP="00ED0649">
      <w:pPr>
        <w:pStyle w:val="BoxTextBullet"/>
      </w:pPr>
      <w:r>
        <w:t>Inspector-</w:t>
      </w:r>
      <w:r w:rsidR="00B34E24">
        <w:t>g</w:t>
      </w:r>
      <w:r>
        <w:t>eneral’s assessment:</w:t>
      </w:r>
      <w:r w:rsidR="00FD1BB1" w:rsidRPr="00ED0649">
        <w:t xml:space="preserve"> </w:t>
      </w:r>
      <w:r w:rsidR="000F3D50" w:rsidRPr="0049262B">
        <w:t xml:space="preserve">Implemented – </w:t>
      </w:r>
      <w:r w:rsidR="000F3D50">
        <w:t>o</w:t>
      </w:r>
      <w:r w:rsidR="000F3D50" w:rsidRPr="0049262B">
        <w:t>ngoing</w:t>
      </w:r>
    </w:p>
    <w:p w14:paraId="7BF7B213" w14:textId="75F22480" w:rsidR="0084123D" w:rsidRDefault="0084123D" w:rsidP="00E437BF">
      <w:pPr>
        <w:pStyle w:val="Heading4"/>
      </w:pPr>
      <w:r>
        <w:t>Department’s response: Support in principle</w:t>
      </w:r>
    </w:p>
    <w:p w14:paraId="1D5EB27E" w14:textId="7521BDF6" w:rsidR="008E3B98" w:rsidRPr="008E3B98" w:rsidRDefault="008E3B98" w:rsidP="008E3B98">
      <w:r w:rsidRPr="008E3B98">
        <w:t>The Australian Standards for the Export of Livestock (ASEL) version 3.0 was published in April 2020. Revisions included implementation of the Technical Advisory Committee recommendations supported by the department as practicable</w:t>
      </w:r>
      <w:r w:rsidR="00334138">
        <w:t>,</w:t>
      </w:r>
      <w:r w:rsidRPr="008E3B98">
        <w:t xml:space="preserve"> an</w:t>
      </w:r>
      <w:r w:rsidR="00334138">
        <w:t>d</w:t>
      </w:r>
      <w:r w:rsidRPr="008E3B98">
        <w:t xml:space="preserve"> revision of language for clarity and to increase enforceability. ASEL 3.0 </w:t>
      </w:r>
      <w:r w:rsidR="00680585">
        <w:t>was</w:t>
      </w:r>
      <w:r w:rsidRPr="008E3B98">
        <w:t xml:space="preserve"> implemented for all </w:t>
      </w:r>
      <w:r w:rsidR="0085075F">
        <w:t xml:space="preserve">livestock animal </w:t>
      </w:r>
      <w:r w:rsidRPr="008E3B98">
        <w:t>exports occurring on or after 1 November 2020.</w:t>
      </w:r>
    </w:p>
    <w:p w14:paraId="73A3205C" w14:textId="71F004E3" w:rsidR="00146C82" w:rsidRDefault="00146C82" w:rsidP="0017466A">
      <w:pPr>
        <w:pStyle w:val="Heading4"/>
      </w:pPr>
      <w:r w:rsidRPr="00B640A1">
        <w:lastRenderedPageBreak/>
        <w:t>Inspector-</w:t>
      </w:r>
      <w:r w:rsidR="00680585">
        <w:t>g</w:t>
      </w:r>
      <w:r w:rsidRPr="00B640A1">
        <w:t>eneral</w:t>
      </w:r>
      <w:r w:rsidR="008515DB" w:rsidRPr="00B640A1">
        <w:t>’s</w:t>
      </w:r>
      <w:r w:rsidRPr="00B640A1">
        <w:t xml:space="preserve"> assessment</w:t>
      </w:r>
    </w:p>
    <w:p w14:paraId="5B5BC7F4" w14:textId="046F6E86" w:rsidR="000B4D61" w:rsidRDefault="000B4D61" w:rsidP="00ED0649">
      <w:pPr>
        <w:keepNext/>
      </w:pPr>
      <w:r>
        <w:t>Submission</w:t>
      </w:r>
      <w:r w:rsidR="00E330FF">
        <w:t>s and consultations for</w:t>
      </w:r>
      <w:r>
        <w:t xml:space="preserve"> this review </w:t>
      </w:r>
      <w:r w:rsidR="00E330FF">
        <w:t>indicate</w:t>
      </w:r>
      <w:r>
        <w:t xml:space="preserve"> that</w:t>
      </w:r>
      <w:r w:rsidR="00E330FF">
        <w:t xml:space="preserve"> some stakeholders </w:t>
      </w:r>
      <w:r w:rsidR="00334138">
        <w:t>think</w:t>
      </w:r>
      <w:r w:rsidR="00E330FF">
        <w:t xml:space="preserve"> that</w:t>
      </w:r>
      <w:r>
        <w:t xml:space="preserve"> the department </w:t>
      </w:r>
      <w:r w:rsidR="00334138">
        <w:t xml:space="preserve">did not </w:t>
      </w:r>
      <w:r w:rsidR="00F552D2">
        <w:t>me</w:t>
      </w:r>
      <w:r w:rsidR="00334138">
        <w:t>e</w:t>
      </w:r>
      <w:r w:rsidR="00F552D2">
        <w:t xml:space="preserve">t the intention </w:t>
      </w:r>
      <w:r w:rsidR="00BE76FD">
        <w:t xml:space="preserve">of </w:t>
      </w:r>
      <w:r w:rsidR="006932ED">
        <w:t>Moss Review</w:t>
      </w:r>
      <w:r w:rsidR="00F611F2">
        <w:t xml:space="preserve"> </w:t>
      </w:r>
      <w:r w:rsidR="00BE76FD">
        <w:t>recommendation</w:t>
      </w:r>
      <w:r>
        <w:t xml:space="preserve"> 4:</w:t>
      </w:r>
    </w:p>
    <w:p w14:paraId="7B5C6CCE" w14:textId="1CDEC336" w:rsidR="00A67DE7" w:rsidRPr="007C7E4E" w:rsidRDefault="000B4D61" w:rsidP="00A67DE7">
      <w:pPr>
        <w:pStyle w:val="Quote"/>
        <w:rPr>
          <w:rStyle w:val="QuoteChar"/>
          <w:rFonts w:eastAsiaTheme="minorHAnsi"/>
        </w:rPr>
      </w:pPr>
      <w:r w:rsidRPr="00A67DE7">
        <w:rPr>
          <w:rStyle w:val="QuoteChar"/>
        </w:rPr>
        <w:t xml:space="preserve">Redrafting the ASEL ‘with more enforceable language’ does not change the legal status of the ASEL nor does it address the fundamental limitations identified in the Moss Review. The ASEL version 3.0 will still take the form of conditions placed on the exporter’s licence and permit approval process. They will not be regulated standards in their own right. </w:t>
      </w:r>
      <w:r w:rsidRPr="000714AE">
        <w:rPr>
          <w:rStyle w:val="QuoteChar"/>
        </w:rPr>
        <w:t xml:space="preserve">Accordingly, the range of available penalties will still be limited as will the scope of liability (RSPCA </w:t>
      </w:r>
      <w:r w:rsidR="00B075D5">
        <w:rPr>
          <w:rStyle w:val="QuoteChar"/>
        </w:rPr>
        <w:t>2020</w:t>
      </w:r>
      <w:r w:rsidRPr="000714AE">
        <w:rPr>
          <w:rStyle w:val="QuoteChar"/>
        </w:rPr>
        <w:t>).</w:t>
      </w:r>
    </w:p>
    <w:p w14:paraId="4DCA603E" w14:textId="04B01F74" w:rsidR="000B4D61" w:rsidRPr="000714AE" w:rsidRDefault="001B1B5D">
      <w:r w:rsidRPr="000714AE">
        <w:t xml:space="preserve">The intent </w:t>
      </w:r>
      <w:r w:rsidR="00592F14">
        <w:t xml:space="preserve">of </w:t>
      </w:r>
      <w:r w:rsidR="00D71E1F">
        <w:t xml:space="preserve">Moss’ </w:t>
      </w:r>
      <w:r w:rsidRPr="000714AE">
        <w:t xml:space="preserve">recommendation </w:t>
      </w:r>
      <w:r w:rsidR="00877A77">
        <w:t>can be inferr</w:t>
      </w:r>
      <w:r w:rsidRPr="000714AE">
        <w:t>ed from RSPCA</w:t>
      </w:r>
      <w:r w:rsidR="00D71E1F">
        <w:t>’s</w:t>
      </w:r>
      <w:r w:rsidRPr="000714AE">
        <w:t xml:space="preserve"> submission to th</w:t>
      </w:r>
      <w:r w:rsidR="009B7342" w:rsidRPr="000714AE">
        <w:t xml:space="preserve">e </w:t>
      </w:r>
      <w:r w:rsidR="006932ED" w:rsidRPr="000714AE">
        <w:t>Moss Review</w:t>
      </w:r>
      <w:r w:rsidR="00D71E1F">
        <w:t xml:space="preserve"> in 2018</w:t>
      </w:r>
      <w:r w:rsidRPr="000714AE">
        <w:t xml:space="preserve">. The RSPCA has reiterated this position in </w:t>
      </w:r>
      <w:r w:rsidR="000714AE">
        <w:t>its</w:t>
      </w:r>
      <w:r w:rsidRPr="000714AE">
        <w:t xml:space="preserve"> submission to th</w:t>
      </w:r>
      <w:r w:rsidR="00575C04" w:rsidRPr="000714AE">
        <w:t xml:space="preserve">e </w:t>
      </w:r>
      <w:r w:rsidR="007E373C">
        <w:t>inspector-general</w:t>
      </w:r>
      <w:r w:rsidR="007E373C" w:rsidRPr="000714AE">
        <w:t xml:space="preserve"> </w:t>
      </w:r>
      <w:r w:rsidRPr="000714AE">
        <w:t>review</w:t>
      </w:r>
      <w:r w:rsidR="000714AE">
        <w:t>,</w:t>
      </w:r>
      <w:r w:rsidRPr="000714AE">
        <w:t xml:space="preserve"> stating that:</w:t>
      </w:r>
    </w:p>
    <w:p w14:paraId="62D03C2C" w14:textId="3EEDCADF" w:rsidR="001B1B5D" w:rsidRPr="000B4D61" w:rsidRDefault="001B1B5D" w:rsidP="00584D20">
      <w:pPr>
        <w:ind w:left="567"/>
      </w:pPr>
      <w:r w:rsidRPr="000714AE">
        <w:rPr>
          <w:rFonts w:eastAsia="Times New Roman"/>
          <w:iCs/>
          <w:color w:val="000000"/>
          <w:sz w:val="20"/>
          <w:szCs w:val="24"/>
        </w:rPr>
        <w:t>As compliance with ASEL is only a licence/permit condition, liability for non-compliance only applies to</w:t>
      </w:r>
      <w:r w:rsidR="007D6485" w:rsidRPr="000714AE">
        <w:rPr>
          <w:rFonts w:eastAsia="Times New Roman"/>
          <w:iCs/>
          <w:color w:val="000000"/>
          <w:sz w:val="20"/>
          <w:szCs w:val="24"/>
        </w:rPr>
        <w:t xml:space="preserve"> </w:t>
      </w:r>
      <w:r w:rsidRPr="000714AE">
        <w:rPr>
          <w:rFonts w:eastAsia="Times New Roman"/>
          <w:iCs/>
          <w:color w:val="000000"/>
          <w:sz w:val="20"/>
          <w:szCs w:val="24"/>
        </w:rPr>
        <w:t>the exporter. However, there are a range of other parties involved in the export supply chain including</w:t>
      </w:r>
      <w:r w:rsidR="007D6485" w:rsidRPr="000714AE">
        <w:rPr>
          <w:rFonts w:eastAsia="Times New Roman"/>
          <w:iCs/>
          <w:color w:val="000000"/>
          <w:sz w:val="20"/>
          <w:szCs w:val="24"/>
        </w:rPr>
        <w:t xml:space="preserve"> </w:t>
      </w:r>
      <w:r w:rsidRPr="000714AE">
        <w:rPr>
          <w:rFonts w:eastAsia="Times New Roman"/>
          <w:iCs/>
          <w:color w:val="000000"/>
          <w:sz w:val="20"/>
          <w:szCs w:val="24"/>
        </w:rPr>
        <w:t>transporters, stock handlers, contractors, the ship’s master who could engage in conduct that breaches</w:t>
      </w:r>
      <w:r w:rsidR="007D6485" w:rsidRPr="000714AE">
        <w:rPr>
          <w:rFonts w:eastAsia="Times New Roman"/>
          <w:iCs/>
          <w:color w:val="000000"/>
          <w:sz w:val="20"/>
          <w:szCs w:val="24"/>
        </w:rPr>
        <w:t xml:space="preserve"> </w:t>
      </w:r>
      <w:r w:rsidRPr="000714AE">
        <w:rPr>
          <w:rFonts w:eastAsia="Times New Roman"/>
          <w:iCs/>
          <w:color w:val="000000"/>
          <w:sz w:val="20"/>
          <w:szCs w:val="24"/>
        </w:rPr>
        <w:t xml:space="preserve">ASEL but not be held liable because they are not the exporter nor employed by the exporter (RSPCA </w:t>
      </w:r>
      <w:r w:rsidR="00F22D98">
        <w:rPr>
          <w:rFonts w:eastAsia="Times New Roman"/>
          <w:iCs/>
          <w:color w:val="000000"/>
          <w:sz w:val="20"/>
          <w:szCs w:val="24"/>
        </w:rPr>
        <w:t>2020</w:t>
      </w:r>
      <w:r w:rsidRPr="000714AE">
        <w:rPr>
          <w:rFonts w:eastAsia="Times New Roman"/>
          <w:iCs/>
          <w:color w:val="000000"/>
          <w:sz w:val="20"/>
          <w:szCs w:val="24"/>
        </w:rPr>
        <w:t>).</w:t>
      </w:r>
    </w:p>
    <w:p w14:paraId="6ED9AFC6" w14:textId="44E519D8" w:rsidR="001B1B5D" w:rsidRDefault="001B1B5D" w:rsidP="0091527D">
      <w:r w:rsidRPr="00017F31">
        <w:t xml:space="preserve">The </w:t>
      </w:r>
      <w:r w:rsidR="00A36FDA">
        <w:t>i</w:t>
      </w:r>
      <w:r w:rsidR="0084123D">
        <w:t>nspector-</w:t>
      </w:r>
      <w:r w:rsidR="00A36FDA">
        <w:t>g</w:t>
      </w:r>
      <w:r w:rsidR="0084123D">
        <w:t>eneral</w:t>
      </w:r>
      <w:r w:rsidRPr="00017F31">
        <w:t xml:space="preserve"> </w:t>
      </w:r>
      <w:r w:rsidR="009B7342" w:rsidRPr="00017F31">
        <w:t>understands</w:t>
      </w:r>
      <w:r w:rsidRPr="00017F31">
        <w:t xml:space="preserve"> that the intent of Moss recommendation </w:t>
      </w:r>
      <w:r w:rsidR="00017F31">
        <w:t xml:space="preserve">4 </w:t>
      </w:r>
      <w:r w:rsidRPr="00017F31">
        <w:t xml:space="preserve">was to </w:t>
      </w:r>
      <w:r w:rsidR="00017F31">
        <w:t xml:space="preserve">ensure that </w:t>
      </w:r>
      <w:r w:rsidR="00017F31" w:rsidRPr="00017F31">
        <w:t xml:space="preserve">appropriate sanctions </w:t>
      </w:r>
      <w:r w:rsidR="00017F31">
        <w:t xml:space="preserve">are </w:t>
      </w:r>
      <w:r w:rsidR="00017F31" w:rsidRPr="00017F31">
        <w:t>available</w:t>
      </w:r>
      <w:r w:rsidR="00017F31" w:rsidRPr="00017F31" w:rsidDel="00017F31">
        <w:t xml:space="preserve"> </w:t>
      </w:r>
      <w:r w:rsidR="00017F31">
        <w:t>to hold</w:t>
      </w:r>
      <w:r w:rsidRPr="00017F31">
        <w:t xml:space="preserve"> </w:t>
      </w:r>
      <w:r w:rsidR="00017F31">
        <w:t xml:space="preserve">to </w:t>
      </w:r>
      <w:r w:rsidR="00017F31" w:rsidRPr="00017F31">
        <w:t xml:space="preserve">account </w:t>
      </w:r>
      <w:r w:rsidR="006D1007" w:rsidRPr="00017F31">
        <w:t>anyone</w:t>
      </w:r>
      <w:r w:rsidRPr="00017F31">
        <w:t xml:space="preserve"> </w:t>
      </w:r>
      <w:r w:rsidR="00017F31" w:rsidRPr="00017F31">
        <w:t>whose</w:t>
      </w:r>
      <w:r w:rsidRPr="00017F31">
        <w:t xml:space="preserve"> breaches </w:t>
      </w:r>
      <w:r w:rsidR="00017F31" w:rsidRPr="00017F31">
        <w:t xml:space="preserve">of </w:t>
      </w:r>
      <w:r w:rsidRPr="00017F31">
        <w:t>ASEL</w:t>
      </w:r>
      <w:r w:rsidR="00017F31" w:rsidRPr="00017F31">
        <w:t xml:space="preserve"> </w:t>
      </w:r>
      <w:r w:rsidRPr="00017F31">
        <w:t>result in actual or potential harm to animal healt</w:t>
      </w:r>
      <w:r w:rsidR="00781905" w:rsidRPr="00017F31">
        <w:t>h and welfare. The department’s</w:t>
      </w:r>
      <w:r w:rsidR="00781905" w:rsidRPr="00541D33">
        <w:t xml:space="preserve"> approach has not given </w:t>
      </w:r>
      <w:r w:rsidR="00F552D2" w:rsidRPr="00541D33">
        <w:t xml:space="preserve">full </w:t>
      </w:r>
      <w:r w:rsidR="00781905" w:rsidRPr="00541D33">
        <w:t xml:space="preserve">effect to this intent but </w:t>
      </w:r>
      <w:r w:rsidR="00881CF3" w:rsidRPr="00541D33">
        <w:t>is consistent with</w:t>
      </w:r>
      <w:r w:rsidR="00781905" w:rsidRPr="00541D33">
        <w:t xml:space="preserve"> the </w:t>
      </w:r>
      <w:r w:rsidR="00F552D2" w:rsidRPr="00541D33">
        <w:t xml:space="preserve">‘in principle’ </w:t>
      </w:r>
      <w:r w:rsidR="00781905" w:rsidRPr="00541D33">
        <w:t>commitment</w:t>
      </w:r>
      <w:r w:rsidR="00781905">
        <w:t xml:space="preserve"> in the department’s response to the </w:t>
      </w:r>
      <w:r w:rsidR="006932ED">
        <w:t>Moss Review</w:t>
      </w:r>
      <w:r w:rsidR="00781905">
        <w:t>.</w:t>
      </w:r>
    </w:p>
    <w:p w14:paraId="439C8656" w14:textId="757AB7CD" w:rsidR="008E3B98" w:rsidRPr="008E3B98" w:rsidRDefault="004C53E8" w:rsidP="008E3B98">
      <w:r>
        <w:t>I</w:t>
      </w:r>
      <w:r w:rsidR="000A428A">
        <w:t xml:space="preserve">n the </w:t>
      </w:r>
      <w:r w:rsidR="00A36FDA">
        <w:t>i</w:t>
      </w:r>
      <w:r w:rsidR="009F46DA">
        <w:t>nspector-</w:t>
      </w:r>
      <w:r w:rsidR="00A36FDA">
        <w:t>g</w:t>
      </w:r>
      <w:r w:rsidR="009F46DA">
        <w:t xml:space="preserve">eneral </w:t>
      </w:r>
      <w:r w:rsidR="000A428A">
        <w:t xml:space="preserve">review </w:t>
      </w:r>
      <w:hyperlink r:id="rId25" w:history="1">
        <w:r>
          <w:rPr>
            <w:rStyle w:val="Hyperlink"/>
          </w:rPr>
          <w:t>Monitoring and reporting during livestock export voyages</w:t>
        </w:r>
      </w:hyperlink>
      <w:r>
        <w:t xml:space="preserve">, </w:t>
      </w:r>
      <w:r w:rsidR="000A428A">
        <w:t xml:space="preserve">the </w:t>
      </w:r>
      <w:r w:rsidR="00A36FDA">
        <w:t>i</w:t>
      </w:r>
      <w:r w:rsidR="00BA11B4">
        <w:t>nspector-</w:t>
      </w:r>
      <w:r w:rsidR="00A36FDA">
        <w:t>g</w:t>
      </w:r>
      <w:r w:rsidR="00BA11B4">
        <w:t>eneral</w:t>
      </w:r>
      <w:r w:rsidR="000A428A">
        <w:t xml:space="preserve"> </w:t>
      </w:r>
      <w:r>
        <w:t>indicates</w:t>
      </w:r>
      <w:r w:rsidR="000A428A">
        <w:t xml:space="preserve"> that </w:t>
      </w:r>
      <w:r w:rsidR="00BE76FD">
        <w:t xml:space="preserve">exporters </w:t>
      </w:r>
      <w:r w:rsidR="000A428A">
        <w:t>should be the primary regulated entity under the live export regulatory framework</w:t>
      </w:r>
      <w:r w:rsidR="00BA11B4">
        <w:t>, with overarching responsibility and accountability for the actions of their employees, contractors and agents</w:t>
      </w:r>
      <w:r w:rsidR="000A428A">
        <w:t xml:space="preserve">. Any changes envisaged by the department to give further effect to this </w:t>
      </w:r>
      <w:r w:rsidR="000A428A" w:rsidRPr="00B56468">
        <w:t xml:space="preserve">recommendation should ensure that </w:t>
      </w:r>
      <w:r w:rsidR="00BE76FD" w:rsidRPr="00B56468">
        <w:t xml:space="preserve">exporter </w:t>
      </w:r>
      <w:r w:rsidR="000A428A" w:rsidRPr="00B56468">
        <w:t xml:space="preserve">liability remains primary. </w:t>
      </w:r>
      <w:r w:rsidR="000714AE" w:rsidRPr="00B56468">
        <w:t>As</w:t>
      </w:r>
      <w:r w:rsidR="000714AE">
        <w:t> </w:t>
      </w:r>
      <w:r w:rsidR="00BE76FD" w:rsidRPr="00B56468">
        <w:t>discussed in</w:t>
      </w:r>
      <w:r w:rsidR="000A428A" w:rsidRPr="00B56468">
        <w:t xml:space="preserve"> the </w:t>
      </w:r>
      <w:r w:rsidR="0090401E">
        <w:t xml:space="preserve">MV </w:t>
      </w:r>
      <w:r w:rsidR="00B56468" w:rsidRPr="0090401E">
        <w:rPr>
          <w:rStyle w:val="Emphasis"/>
        </w:rPr>
        <w:t xml:space="preserve">Awassi </w:t>
      </w:r>
      <w:r w:rsidR="00F805BE" w:rsidRPr="0090401E">
        <w:rPr>
          <w:rStyle w:val="Emphasis"/>
        </w:rPr>
        <w:t>Express</w:t>
      </w:r>
      <w:r w:rsidR="00F805BE">
        <w:t xml:space="preserve"> </w:t>
      </w:r>
      <w:r w:rsidR="00B56468" w:rsidRPr="00122F90">
        <w:t xml:space="preserve">case study </w:t>
      </w:r>
      <w:r w:rsidR="00B56468" w:rsidRPr="00B56468">
        <w:t>(</w:t>
      </w:r>
      <w:r w:rsidR="00B56468">
        <w:fldChar w:fldCharType="begin"/>
      </w:r>
      <w:r w:rsidR="00B56468">
        <w:instrText xml:space="preserve"> REF _Ref53558896 \h </w:instrText>
      </w:r>
      <w:r w:rsidR="00B56468">
        <w:fldChar w:fldCharType="separate"/>
      </w:r>
      <w:r w:rsidR="00FE420F">
        <w:t xml:space="preserve">Case study </w:t>
      </w:r>
      <w:r w:rsidR="00FE420F">
        <w:rPr>
          <w:noProof/>
        </w:rPr>
        <w:t>1</w:t>
      </w:r>
      <w:r w:rsidR="00FE420F">
        <w:t xml:space="preserve"> </w:t>
      </w:r>
      <w:r w:rsidR="00B56468">
        <w:fldChar w:fldCharType="end"/>
      </w:r>
      <w:r w:rsidR="00B56468">
        <w:t>)</w:t>
      </w:r>
      <w:r w:rsidR="000A428A" w:rsidRPr="00B56468">
        <w:t>, the</w:t>
      </w:r>
      <w:r w:rsidR="000A428A">
        <w:t xml:space="preserve"> </w:t>
      </w:r>
      <w:r w:rsidR="00A36FDA">
        <w:t>i</w:t>
      </w:r>
      <w:r w:rsidR="00BA11B4">
        <w:t>nspector-</w:t>
      </w:r>
      <w:r w:rsidR="00A36FDA">
        <w:t>g</w:t>
      </w:r>
      <w:r w:rsidR="00BA11B4">
        <w:t>eneral</w:t>
      </w:r>
      <w:r w:rsidR="000A428A">
        <w:t xml:space="preserve"> remains concerned that</w:t>
      </w:r>
      <w:r w:rsidR="00570E4B">
        <w:t>,</w:t>
      </w:r>
      <w:r w:rsidR="000714AE">
        <w:t xml:space="preserve"> if</w:t>
      </w:r>
      <w:r w:rsidR="00B56468">
        <w:t xml:space="preserve"> a similar case occur</w:t>
      </w:r>
      <w:r w:rsidR="000714AE">
        <w:t>s</w:t>
      </w:r>
      <w:r w:rsidR="00B56468">
        <w:t xml:space="preserve"> again,</w:t>
      </w:r>
      <w:r w:rsidR="000A428A">
        <w:t xml:space="preserve"> liability may not be sufficient</w:t>
      </w:r>
      <w:r w:rsidR="00570E4B">
        <w:t>ly clear</w:t>
      </w:r>
      <w:r w:rsidR="000A428A">
        <w:t xml:space="preserve"> to</w:t>
      </w:r>
      <w:r w:rsidR="00AC3B77">
        <w:t xml:space="preserve"> </w:t>
      </w:r>
      <w:r w:rsidR="000A428A">
        <w:t xml:space="preserve">ensure that </w:t>
      </w:r>
      <w:r w:rsidR="00BA11B4">
        <w:t xml:space="preserve">responsible </w:t>
      </w:r>
      <w:r w:rsidR="00BA11B4" w:rsidRPr="00B56468">
        <w:t>parties</w:t>
      </w:r>
      <w:r w:rsidR="000A428A" w:rsidRPr="00B56468">
        <w:t xml:space="preserve"> </w:t>
      </w:r>
      <w:r w:rsidR="00B56468" w:rsidRPr="00122F90">
        <w:t>are</w:t>
      </w:r>
      <w:r w:rsidR="00B56468" w:rsidRPr="00B56468">
        <w:t xml:space="preserve"> </w:t>
      </w:r>
      <w:r w:rsidR="000A428A" w:rsidRPr="00B56468">
        <w:t xml:space="preserve">held </w:t>
      </w:r>
      <w:r w:rsidR="00F552D2" w:rsidRPr="00B56468">
        <w:t xml:space="preserve">accountable and </w:t>
      </w:r>
      <w:r w:rsidR="000A428A" w:rsidRPr="00B56468">
        <w:t>legally liable.</w:t>
      </w:r>
      <w:r w:rsidR="00881CF3" w:rsidRPr="00B56468">
        <w:t xml:space="preserve"> More importantly, regulated entities need certainty and clarity </w:t>
      </w:r>
      <w:r w:rsidR="00B56468" w:rsidRPr="00122F90">
        <w:t>about</w:t>
      </w:r>
      <w:r w:rsidR="00881CF3" w:rsidRPr="00B56468">
        <w:t xml:space="preserve"> their obligations</w:t>
      </w:r>
      <w:r w:rsidR="00EC1FA3" w:rsidRPr="00B56468">
        <w:t>, which</w:t>
      </w:r>
      <w:r w:rsidR="00A166B7" w:rsidRPr="00B56468">
        <w:t xml:space="preserve"> </w:t>
      </w:r>
      <w:r w:rsidR="00BB2CD6" w:rsidRPr="00BB2CD6">
        <w:t xml:space="preserve">should </w:t>
      </w:r>
      <w:r w:rsidR="008C1517">
        <w:t>assist in</w:t>
      </w:r>
      <w:r w:rsidR="00BB2CD6" w:rsidRPr="00BB2CD6">
        <w:t xml:space="preserve"> prevent</w:t>
      </w:r>
      <w:r w:rsidR="008C1517">
        <w:t>ing</w:t>
      </w:r>
      <w:r w:rsidR="00D52B67">
        <w:t xml:space="preserve"> </w:t>
      </w:r>
      <w:r w:rsidR="00A166B7" w:rsidRPr="00B56468">
        <w:t>incidents of this nature.</w:t>
      </w:r>
      <w:r w:rsidR="008C1517">
        <w:t xml:space="preserve"> Accordingly, the department should continue to review the clarity and enforceability of conditions in instruments intended to give effect to ASEL.</w:t>
      </w:r>
    </w:p>
    <w:p w14:paraId="69B4D0C9" w14:textId="31BBA42D" w:rsidR="004C53E8" w:rsidRDefault="005E000E" w:rsidP="00122F90">
      <w:pPr>
        <w:pStyle w:val="BoxHeading"/>
      </w:pPr>
      <w:r>
        <w:t xml:space="preserve">Moss </w:t>
      </w:r>
      <w:r w:rsidR="00103977">
        <w:t xml:space="preserve">Review </w:t>
      </w:r>
      <w:r>
        <w:t>r</w:t>
      </w:r>
      <w:r w:rsidR="008E3B98" w:rsidRPr="008E3B98">
        <w:t>ecommendation 5</w:t>
      </w:r>
    </w:p>
    <w:p w14:paraId="66DA6B74" w14:textId="48F0E77A" w:rsidR="008E3B98" w:rsidRPr="008E3B98" w:rsidRDefault="008E3B98" w:rsidP="00122F90">
      <w:pPr>
        <w:pStyle w:val="BoxText"/>
      </w:pPr>
      <w:r w:rsidRPr="008E3B98">
        <w:t>That the department as the regulator of live animal exports adopt a dynamic</w:t>
      </w:r>
      <w:r w:rsidR="002C41D2">
        <w:t>,</w:t>
      </w:r>
      <w:r w:rsidRPr="008E3B98">
        <w:t xml:space="preserve"> forward looking posture to its regulatory responsibilities.</w:t>
      </w:r>
    </w:p>
    <w:p w14:paraId="643BF787" w14:textId="77777777" w:rsidR="0024760B" w:rsidRPr="00122F90" w:rsidRDefault="0024760B" w:rsidP="0024760B">
      <w:pPr>
        <w:pStyle w:val="BoxText"/>
        <w:rPr>
          <w:rStyle w:val="Strong"/>
        </w:rPr>
      </w:pPr>
      <w:r w:rsidRPr="00122F90">
        <w:rPr>
          <w:rStyle w:val="Strong"/>
        </w:rPr>
        <w:t>Implementation status</w:t>
      </w:r>
    </w:p>
    <w:p w14:paraId="645935A7" w14:textId="5FC22C77" w:rsidR="008E3B98" w:rsidRPr="00122F90" w:rsidRDefault="008E3B98" w:rsidP="00122F90">
      <w:pPr>
        <w:pStyle w:val="BoxTextBullet"/>
      </w:pPr>
      <w:r w:rsidRPr="00122F90">
        <w:t xml:space="preserve">Department’s </w:t>
      </w:r>
      <w:r w:rsidR="00B56468" w:rsidRPr="00122F90">
        <w:t>assessment</w:t>
      </w:r>
      <w:r w:rsidRPr="00122F90">
        <w:t>: Ongoing</w:t>
      </w:r>
    </w:p>
    <w:p w14:paraId="795B706B" w14:textId="482DEEFC" w:rsidR="004C53E8" w:rsidRPr="008E3B98" w:rsidRDefault="009F46DA" w:rsidP="00122F90">
      <w:pPr>
        <w:pStyle w:val="BoxTextBullet"/>
      </w:pPr>
      <w:r>
        <w:t>Inspector-</w:t>
      </w:r>
      <w:r w:rsidR="00B34E24">
        <w:t>g</w:t>
      </w:r>
      <w:r>
        <w:t>eneral</w:t>
      </w:r>
      <w:r w:rsidR="008515DB">
        <w:t>’s</w:t>
      </w:r>
      <w:r>
        <w:t xml:space="preserve"> </w:t>
      </w:r>
      <w:r w:rsidR="004C53E8" w:rsidRPr="00122F90">
        <w:t>assessment: In progress</w:t>
      </w:r>
    </w:p>
    <w:p w14:paraId="32E130EC" w14:textId="6A5F81FC" w:rsidR="00B06407" w:rsidRDefault="00B06407" w:rsidP="002E6354">
      <w:pPr>
        <w:pStyle w:val="Heading4"/>
      </w:pPr>
      <w:r>
        <w:lastRenderedPageBreak/>
        <w:t>Department’s response: Support</w:t>
      </w:r>
    </w:p>
    <w:p w14:paraId="41B72877" w14:textId="77777777" w:rsidR="001437C9" w:rsidRDefault="008E3B98" w:rsidP="00810F0F">
      <w:pPr>
        <w:keepNext/>
      </w:pPr>
      <w:r w:rsidRPr="008E3B98">
        <w:t>The department is committed to</w:t>
      </w:r>
      <w:r w:rsidR="001437C9">
        <w:t>:</w:t>
      </w:r>
    </w:p>
    <w:p w14:paraId="65A10781" w14:textId="2D927191" w:rsidR="001437C9" w:rsidRDefault="00B56468" w:rsidP="00810F0F">
      <w:pPr>
        <w:pStyle w:val="ListBullet"/>
        <w:keepNext/>
      </w:pPr>
      <w:r>
        <w:t xml:space="preserve">providing the </w:t>
      </w:r>
      <w:r w:rsidR="00A36FDA">
        <w:t>i</w:t>
      </w:r>
      <w:r>
        <w:t>nspector-</w:t>
      </w:r>
      <w:r w:rsidR="00A36FDA">
        <w:t>g</w:t>
      </w:r>
      <w:r>
        <w:t>eneral with</w:t>
      </w:r>
      <w:r w:rsidR="008E3B98" w:rsidRPr="008E3B98">
        <w:t xml:space="preserve"> a 6</w:t>
      </w:r>
      <w:r>
        <w:t>-</w:t>
      </w:r>
      <w:r w:rsidR="008E3B98" w:rsidRPr="008E3B98">
        <w:t xml:space="preserve">monthly Moss </w:t>
      </w:r>
      <w:r>
        <w:t>i</w:t>
      </w:r>
      <w:r w:rsidR="008E3B98" w:rsidRPr="008E3B98">
        <w:t>mplementation progress update</w:t>
      </w:r>
    </w:p>
    <w:p w14:paraId="4D6C32D1" w14:textId="59E31940" w:rsidR="008E3B98" w:rsidRDefault="008E3B98" w:rsidP="00810F0F">
      <w:pPr>
        <w:pStyle w:val="ListBullet"/>
        <w:keepNext/>
      </w:pPr>
      <w:r w:rsidRPr="008E3B98">
        <w:t>responding to reports</w:t>
      </w:r>
      <w:r w:rsidR="00B56468">
        <w:t xml:space="preserve"> </w:t>
      </w:r>
      <w:r w:rsidR="001437C9">
        <w:t xml:space="preserve">by </w:t>
      </w:r>
      <w:r w:rsidRPr="008E3B98">
        <w:t xml:space="preserve">and data requests from the </w:t>
      </w:r>
      <w:proofErr w:type="gramStart"/>
      <w:r w:rsidR="00A36FDA">
        <w:t>i</w:t>
      </w:r>
      <w:r w:rsidR="009F46DA">
        <w:t>nspector-</w:t>
      </w:r>
      <w:r w:rsidR="00A36FDA">
        <w:t>g</w:t>
      </w:r>
      <w:r w:rsidR="009F46DA">
        <w:t>eneral</w:t>
      </w:r>
      <w:proofErr w:type="gramEnd"/>
      <w:r w:rsidRPr="008E3B98">
        <w:t>.</w:t>
      </w:r>
    </w:p>
    <w:p w14:paraId="57357628" w14:textId="769FCF16" w:rsidR="00593570" w:rsidRPr="008E3B98" w:rsidRDefault="00593570" w:rsidP="00593570">
      <w:r w:rsidRPr="008E3B98">
        <w:t xml:space="preserve">The department introduced </w:t>
      </w:r>
      <w:r w:rsidR="001437C9">
        <w:t>several</w:t>
      </w:r>
      <w:r w:rsidRPr="008E3B98">
        <w:t xml:space="preserve"> measures to improve its regulatory framework</w:t>
      </w:r>
      <w:r w:rsidR="001437C9">
        <w:t>,</w:t>
      </w:r>
      <w:r w:rsidRPr="008E3B98">
        <w:t xml:space="preserve"> including:</w:t>
      </w:r>
    </w:p>
    <w:p w14:paraId="3902B420" w14:textId="03042341" w:rsidR="00593570" w:rsidRPr="008E3B98" w:rsidRDefault="00397121" w:rsidP="00593570">
      <w:pPr>
        <w:numPr>
          <w:ilvl w:val="0"/>
          <w:numId w:val="4"/>
        </w:numPr>
        <w:spacing w:after="120"/>
      </w:pPr>
      <w:r>
        <w:t xml:space="preserve">conducting a </w:t>
      </w:r>
      <w:r w:rsidR="001437C9">
        <w:t>r</w:t>
      </w:r>
      <w:r w:rsidR="00593570" w:rsidRPr="008E3B98">
        <w:t xml:space="preserve">egulation </w:t>
      </w:r>
      <w:r w:rsidR="001437C9">
        <w:t>i</w:t>
      </w:r>
      <w:r w:rsidR="00593570" w:rsidRPr="008E3B98">
        <w:t xml:space="preserve">mpact </w:t>
      </w:r>
      <w:r w:rsidR="001437C9">
        <w:t>s</w:t>
      </w:r>
      <w:r w:rsidR="00593570" w:rsidRPr="008E3B98">
        <w:t>tatement process for live sheep exports to the Middle East</w:t>
      </w:r>
    </w:p>
    <w:p w14:paraId="37C4F010" w14:textId="45D9F829" w:rsidR="00593570" w:rsidRPr="008E3B98" w:rsidRDefault="00593570" w:rsidP="00593570">
      <w:pPr>
        <w:numPr>
          <w:ilvl w:val="0"/>
          <w:numId w:val="4"/>
        </w:numPr>
        <w:spacing w:after="120"/>
      </w:pPr>
      <w:r w:rsidRPr="008E3B98">
        <w:t>finalising</w:t>
      </w:r>
      <w:r w:rsidR="009D15DD">
        <w:t xml:space="preserve"> the</w:t>
      </w:r>
      <w:r w:rsidRPr="008E3B98">
        <w:t xml:space="preserve"> Export of Livestock Compliance Statement</w:t>
      </w:r>
    </w:p>
    <w:p w14:paraId="193A77BF" w14:textId="77777777" w:rsidR="00593570" w:rsidRPr="008E3B98" w:rsidRDefault="00593570" w:rsidP="00593570">
      <w:pPr>
        <w:numPr>
          <w:ilvl w:val="0"/>
          <w:numId w:val="4"/>
        </w:numPr>
        <w:spacing w:after="120"/>
      </w:pPr>
      <w:r w:rsidRPr="008E3B98">
        <w:t>developing a draft Regulatory Practice Framework</w:t>
      </w:r>
    </w:p>
    <w:p w14:paraId="0E966276" w14:textId="6542580B" w:rsidR="00593570" w:rsidRPr="008E3B98" w:rsidRDefault="00593570" w:rsidP="00593570">
      <w:pPr>
        <w:numPr>
          <w:ilvl w:val="0"/>
          <w:numId w:val="4"/>
        </w:numPr>
        <w:spacing w:after="120"/>
      </w:pPr>
      <w:r w:rsidRPr="008E3B98">
        <w:t>developing a Regulatory Information Management System</w:t>
      </w:r>
    </w:p>
    <w:p w14:paraId="21F1E045" w14:textId="5F722E2F" w:rsidR="00593570" w:rsidRPr="008E3B98" w:rsidRDefault="00593570" w:rsidP="0045557D">
      <w:pPr>
        <w:numPr>
          <w:ilvl w:val="0"/>
          <w:numId w:val="4"/>
        </w:numPr>
        <w:spacing w:after="120"/>
      </w:pPr>
      <w:r w:rsidRPr="008E3B98">
        <w:t>establishing a Regulatory Training Framework.</w:t>
      </w:r>
    </w:p>
    <w:p w14:paraId="10D22E76" w14:textId="2548ECE2" w:rsidR="00EA24B3" w:rsidRDefault="00BB2CD6" w:rsidP="002E6354">
      <w:pPr>
        <w:pStyle w:val="Heading4"/>
      </w:pPr>
      <w:r w:rsidRPr="00B640A1">
        <w:t>Inspector-</w:t>
      </w:r>
      <w:r w:rsidR="00B34E24">
        <w:t>g</w:t>
      </w:r>
      <w:r w:rsidRPr="00B640A1">
        <w:t>eneral</w:t>
      </w:r>
      <w:r w:rsidR="008515DB" w:rsidRPr="00B640A1">
        <w:t>’s</w:t>
      </w:r>
      <w:r w:rsidRPr="00B640A1">
        <w:t xml:space="preserve"> </w:t>
      </w:r>
      <w:r w:rsidR="00EA24B3" w:rsidRPr="00B640A1">
        <w:t>assessment</w:t>
      </w:r>
    </w:p>
    <w:p w14:paraId="02D9EAA9" w14:textId="7D0C14C8" w:rsidR="00BA3A6E" w:rsidRDefault="00BA3A6E" w:rsidP="008E3B98">
      <w:r w:rsidRPr="008E3B98">
        <w:t>The department has focused on addressing inadequacies in its framework. However, evidence</w:t>
      </w:r>
      <w:r>
        <w:t xml:space="preserve"> does not indicate</w:t>
      </w:r>
      <w:r w:rsidRPr="008E3B98">
        <w:t xml:space="preserve"> that th</w:t>
      </w:r>
      <w:r>
        <w:t>is</w:t>
      </w:r>
      <w:r w:rsidRPr="008E3B98">
        <w:t xml:space="preserve"> ha</w:t>
      </w:r>
      <w:r>
        <w:t xml:space="preserve">s been accompanied by </w:t>
      </w:r>
      <w:r w:rsidRPr="008E3B98">
        <w:t>a</w:t>
      </w:r>
      <w:r>
        <w:t xml:space="preserve"> significant</w:t>
      </w:r>
      <w:r w:rsidRPr="008E3B98">
        <w:t xml:space="preserve"> </w:t>
      </w:r>
      <w:r>
        <w:t>change in the department’s</w:t>
      </w:r>
      <w:r w:rsidRPr="008E3B98">
        <w:t xml:space="preserve"> operational regulatory</w:t>
      </w:r>
      <w:r>
        <w:t xml:space="preserve"> practice</w:t>
      </w:r>
      <w:r w:rsidRPr="008E3B98">
        <w:t xml:space="preserve">. </w:t>
      </w:r>
      <w:r>
        <w:t xml:space="preserve">As discussed in the inspector-general’s review </w:t>
      </w:r>
      <w:hyperlink r:id="rId26" w:history="1">
        <w:r>
          <w:rPr>
            <w:rStyle w:val="Hyperlink"/>
          </w:rPr>
          <w:t>Monitoring and reporting during livestock export voyages</w:t>
        </w:r>
      </w:hyperlink>
      <w:r>
        <w:t xml:space="preserve"> (Inspector-general 2020), t</w:t>
      </w:r>
      <w:r w:rsidRPr="008E3B98">
        <w:t xml:space="preserve">he department should </w:t>
      </w:r>
      <w:r>
        <w:t>focus</w:t>
      </w:r>
      <w:r w:rsidRPr="008E3B98">
        <w:t xml:space="preserve"> its regulatory efforts on preventing and mitigating harm by ensuring that industry participants </w:t>
      </w:r>
      <w:r>
        <w:t>execute operationally</w:t>
      </w:r>
      <w:r w:rsidRPr="008E3B98">
        <w:t>.</w:t>
      </w:r>
    </w:p>
    <w:p w14:paraId="28B7DEA7" w14:textId="4D3854D0" w:rsidR="0024760B" w:rsidRDefault="00EA24B3" w:rsidP="008E3B98">
      <w:r w:rsidRPr="008E3B98">
        <w:t>The</w:t>
      </w:r>
      <w:r w:rsidR="008E3B98" w:rsidRPr="008E3B98">
        <w:t xml:space="preserve"> intent of this recommendation is to </w:t>
      </w:r>
      <w:r w:rsidR="001437C9">
        <w:t>anticipate</w:t>
      </w:r>
      <w:r w:rsidR="008E3B98" w:rsidRPr="008E3B98">
        <w:t xml:space="preserve"> risks, non-compliance and poor behaviour and </w:t>
      </w:r>
      <w:r w:rsidR="009430C0">
        <w:t xml:space="preserve">to then </w:t>
      </w:r>
      <w:r w:rsidR="008E3B98" w:rsidRPr="008E3B98">
        <w:t xml:space="preserve">target regulatory interventions to </w:t>
      </w:r>
      <w:r w:rsidR="00BE4B3C">
        <w:t>address</w:t>
      </w:r>
      <w:r w:rsidR="008E3B98" w:rsidRPr="008E3B98">
        <w:t xml:space="preserve"> non-compliance and improve behaviours</w:t>
      </w:r>
      <w:r w:rsidR="009B7342">
        <w:t xml:space="preserve">. </w:t>
      </w:r>
      <w:r w:rsidR="001437C9">
        <w:t>A</w:t>
      </w:r>
      <w:r w:rsidR="00BE4B3C">
        <w:t xml:space="preserve"> clear</w:t>
      </w:r>
      <w:r w:rsidR="009B7342">
        <w:t xml:space="preserve"> objective is</w:t>
      </w:r>
      <w:r w:rsidR="008E3B98" w:rsidRPr="008E3B98">
        <w:t xml:space="preserve"> to </w:t>
      </w:r>
      <w:r w:rsidR="009B7342">
        <w:t xml:space="preserve">improve </w:t>
      </w:r>
      <w:r w:rsidR="008E3B98" w:rsidRPr="008E3B98">
        <w:t>animal health and welfare</w:t>
      </w:r>
      <w:r w:rsidR="009B7342">
        <w:t xml:space="preserve"> outcomes, and prevent</w:t>
      </w:r>
      <w:r w:rsidR="008E3B98" w:rsidRPr="008E3B98">
        <w:t xml:space="preserve"> incidents.</w:t>
      </w:r>
      <w:r w:rsidR="008E3B98" w:rsidRPr="008E3B98">
        <w:rPr>
          <w:color w:val="1F497D"/>
        </w:rPr>
        <w:t xml:space="preserve"> </w:t>
      </w:r>
      <w:r w:rsidR="001437C9">
        <w:t>I</w:t>
      </w:r>
      <w:r w:rsidR="009430C0" w:rsidRPr="0053326A">
        <w:t xml:space="preserve">f </w:t>
      </w:r>
      <w:r w:rsidR="009B7342">
        <w:t>the department</w:t>
      </w:r>
      <w:r w:rsidR="00B4507D">
        <w:t>’</w:t>
      </w:r>
      <w:r w:rsidR="009B7342">
        <w:t>s regulatory operations were focused in this way</w:t>
      </w:r>
      <w:r w:rsidR="001437C9">
        <w:t xml:space="preserve">, </w:t>
      </w:r>
      <w:r w:rsidR="001437C9" w:rsidRPr="0053326A">
        <w:t xml:space="preserve">the </w:t>
      </w:r>
      <w:r w:rsidR="00A36FDA">
        <w:t>i</w:t>
      </w:r>
      <w:r w:rsidR="001437C9">
        <w:t>nspector-</w:t>
      </w:r>
      <w:r w:rsidR="00A36FDA">
        <w:t>g</w:t>
      </w:r>
      <w:r w:rsidR="001437C9">
        <w:t>eneral</w:t>
      </w:r>
      <w:r w:rsidR="001437C9" w:rsidRPr="0053326A">
        <w:t xml:space="preserve"> would </w:t>
      </w:r>
      <w:r w:rsidR="001437C9">
        <w:t xml:space="preserve">expect to see evidence of </w:t>
      </w:r>
      <w:r w:rsidR="009430C0" w:rsidRPr="0053326A">
        <w:t>multidisciplinary</w:t>
      </w:r>
      <w:r w:rsidR="0045519E" w:rsidRPr="0053326A">
        <w:t xml:space="preserve"> and </w:t>
      </w:r>
      <w:r w:rsidR="009430C0" w:rsidRPr="0053326A">
        <w:t>cross</w:t>
      </w:r>
      <w:r w:rsidR="001437C9">
        <w:t>-</w:t>
      </w:r>
      <w:r w:rsidR="009430C0" w:rsidRPr="0053326A">
        <w:t>departmental field operations</w:t>
      </w:r>
      <w:r w:rsidR="00BE4B3C">
        <w:t xml:space="preserve"> aimed at addressing issues of non-compliance or poor behaviour</w:t>
      </w:r>
      <w:r w:rsidR="009B7342">
        <w:t xml:space="preserve">, with </w:t>
      </w:r>
      <w:r w:rsidR="001437C9">
        <w:t xml:space="preserve">each project </w:t>
      </w:r>
      <w:r w:rsidR="009B7342">
        <w:t>reporting on outcomes</w:t>
      </w:r>
      <w:r w:rsidR="009430C0" w:rsidRPr="0053326A">
        <w:t>. In best practice regulators</w:t>
      </w:r>
      <w:r w:rsidR="001437C9">
        <w:t>,</w:t>
      </w:r>
      <w:r w:rsidR="009430C0" w:rsidRPr="0053326A">
        <w:t xml:space="preserve"> this reporting </w:t>
      </w:r>
      <w:r w:rsidR="001437C9">
        <w:t xml:space="preserve">usually </w:t>
      </w:r>
      <w:r w:rsidR="009430C0" w:rsidRPr="0053326A">
        <w:t>indicate</w:t>
      </w:r>
      <w:r w:rsidR="001437C9">
        <w:t>s</w:t>
      </w:r>
      <w:r w:rsidR="009430C0" w:rsidRPr="0053326A">
        <w:t xml:space="preserve"> the range of non-compliance </w:t>
      </w:r>
      <w:r w:rsidR="00B14E6D" w:rsidRPr="0053326A">
        <w:t>targeted</w:t>
      </w:r>
      <w:r w:rsidR="001437C9">
        <w:t xml:space="preserve"> and</w:t>
      </w:r>
      <w:r w:rsidR="009430C0" w:rsidRPr="0053326A">
        <w:t xml:space="preserve"> detected, and the regulatory responses that resulted.</w:t>
      </w:r>
    </w:p>
    <w:p w14:paraId="12F77D31" w14:textId="6A456D16" w:rsidR="0024760B" w:rsidRDefault="005E000E" w:rsidP="004753D8">
      <w:pPr>
        <w:pStyle w:val="BoxHeading"/>
      </w:pPr>
      <w:r>
        <w:t xml:space="preserve">Moss </w:t>
      </w:r>
      <w:r w:rsidR="00103977">
        <w:t xml:space="preserve">Review </w:t>
      </w:r>
      <w:r>
        <w:t>r</w:t>
      </w:r>
      <w:r w:rsidR="008E3B98" w:rsidRPr="008E3B98">
        <w:t>ecommendation 7</w:t>
      </w:r>
    </w:p>
    <w:p w14:paraId="34AE842A" w14:textId="39150226" w:rsidR="008E3B98" w:rsidRPr="008E3B98" w:rsidRDefault="008E3B98" w:rsidP="004753D8">
      <w:pPr>
        <w:pStyle w:val="BoxText"/>
      </w:pPr>
      <w:r w:rsidRPr="008E3B98">
        <w:t>That the department strengthen the approved arrangements model for live animal exports by introducing full inspections of consignments on a random unannounced basis.</w:t>
      </w:r>
    </w:p>
    <w:p w14:paraId="2E2B2C49" w14:textId="77777777" w:rsidR="0024760B" w:rsidRPr="004753D8" w:rsidRDefault="0024760B" w:rsidP="0024760B">
      <w:pPr>
        <w:pStyle w:val="BoxText"/>
        <w:rPr>
          <w:rStyle w:val="Strong"/>
        </w:rPr>
      </w:pPr>
      <w:r w:rsidRPr="004753D8">
        <w:rPr>
          <w:rStyle w:val="Strong"/>
        </w:rPr>
        <w:t>Implementation status</w:t>
      </w:r>
    </w:p>
    <w:p w14:paraId="26111FB1" w14:textId="1DA271A2" w:rsidR="008E3B98" w:rsidRPr="00610B6D" w:rsidRDefault="008E3B98" w:rsidP="00610B6D">
      <w:pPr>
        <w:pStyle w:val="BoxTextBullet"/>
      </w:pPr>
      <w:r w:rsidRPr="00610B6D">
        <w:t xml:space="preserve">Department’s </w:t>
      </w:r>
      <w:r w:rsidR="0024760B" w:rsidRPr="00610B6D">
        <w:t>assessment</w:t>
      </w:r>
      <w:r w:rsidRPr="00610B6D">
        <w:t>: In progress</w:t>
      </w:r>
    </w:p>
    <w:p w14:paraId="32FD1B81" w14:textId="25C5F268" w:rsidR="0024760B" w:rsidRPr="008E3B98" w:rsidRDefault="00785611" w:rsidP="00610B6D">
      <w:pPr>
        <w:pStyle w:val="BoxTextBullet"/>
      </w:pPr>
      <w:r>
        <w:t>Inspector-</w:t>
      </w:r>
      <w:r w:rsidR="00B34E24">
        <w:t>g</w:t>
      </w:r>
      <w:r>
        <w:t>eneral</w:t>
      </w:r>
      <w:r w:rsidR="008515DB">
        <w:t>’s</w:t>
      </w:r>
      <w:r w:rsidRPr="00610B6D">
        <w:t xml:space="preserve"> </w:t>
      </w:r>
      <w:r w:rsidR="0024760B" w:rsidRPr="00610B6D">
        <w:t>assessment: In progress</w:t>
      </w:r>
    </w:p>
    <w:p w14:paraId="4CBB9902" w14:textId="47457155" w:rsidR="00BE4B3C" w:rsidRDefault="00BE4B3C" w:rsidP="008729F4">
      <w:pPr>
        <w:pStyle w:val="Heading4"/>
      </w:pPr>
      <w:r>
        <w:t>Department’s response: Support</w:t>
      </w:r>
    </w:p>
    <w:p w14:paraId="79F99A5F" w14:textId="7E29964C" w:rsidR="008E3B98" w:rsidRPr="008E3B98" w:rsidRDefault="008E3B98" w:rsidP="008E3B98">
      <w:r w:rsidRPr="008E3B98">
        <w:t>The department has mapp</w:t>
      </w:r>
      <w:r w:rsidR="007D0A3F">
        <w:t>ed</w:t>
      </w:r>
      <w:r w:rsidRPr="008E3B98">
        <w:t xml:space="preserve"> all regulatory processes to better understand regulatory risks, gaps in the regulations and potential control points </w:t>
      </w:r>
      <w:r w:rsidR="00C119A5">
        <w:t>in</w:t>
      </w:r>
      <w:r w:rsidRPr="008E3B98">
        <w:t xml:space="preserve"> the live</w:t>
      </w:r>
      <w:r w:rsidR="00F204F6">
        <w:t>stock</w:t>
      </w:r>
      <w:r w:rsidRPr="008E3B98">
        <w:t xml:space="preserve"> animal exports supply chain.</w:t>
      </w:r>
    </w:p>
    <w:p w14:paraId="37AD7717" w14:textId="64B2DFA5" w:rsidR="00C119A5" w:rsidRDefault="008E3B98" w:rsidP="008E3B98">
      <w:r w:rsidRPr="002351D6">
        <w:lastRenderedPageBreak/>
        <w:t xml:space="preserve">The </w:t>
      </w:r>
      <w:r w:rsidRPr="00E437BF">
        <w:t>Animal Welfare</w:t>
      </w:r>
      <w:r w:rsidR="00EB4243" w:rsidRPr="00E437BF">
        <w:t xml:space="preserve"> Systems</w:t>
      </w:r>
      <w:r w:rsidRPr="00E437BF">
        <w:t xml:space="preserve"> Verification section</w:t>
      </w:r>
      <w:r w:rsidRPr="008E3B98">
        <w:t xml:space="preserve"> is responsible for </w:t>
      </w:r>
      <w:r w:rsidR="00350977" w:rsidRPr="008E3B98">
        <w:t>developing and</w:t>
      </w:r>
      <w:r w:rsidRPr="008E3B98">
        <w:t xml:space="preserve"> administrating a random, unannounced full consignment audit program</w:t>
      </w:r>
      <w:r w:rsidR="001530AB">
        <w:t xml:space="preserve"> in conjunction with other areas in the Plant and Live Animal Export and </w:t>
      </w:r>
      <w:r w:rsidR="001530AB" w:rsidRPr="00EB4243">
        <w:t>Exports and Veterinary Services</w:t>
      </w:r>
      <w:r w:rsidR="001530AB" w:rsidRPr="008E3B98">
        <w:t xml:space="preserve"> </w:t>
      </w:r>
      <w:r w:rsidR="001530AB">
        <w:t>Divisions</w:t>
      </w:r>
      <w:r w:rsidRPr="008E3B98">
        <w:t>.</w:t>
      </w:r>
    </w:p>
    <w:p w14:paraId="2D3B5671" w14:textId="0E20D918" w:rsidR="005E000E" w:rsidRDefault="008E3B98" w:rsidP="008E3B98">
      <w:r w:rsidRPr="008E3B98">
        <w:t>The approach will examine exporter and registered premises compliance with</w:t>
      </w:r>
      <w:r w:rsidR="005E000E">
        <w:t xml:space="preserve"> </w:t>
      </w:r>
      <w:r w:rsidRPr="008E3B98">
        <w:t>legislative requirements</w:t>
      </w:r>
      <w:r w:rsidR="005E000E">
        <w:t>,</w:t>
      </w:r>
      <w:r w:rsidRPr="008E3B98">
        <w:t xml:space="preserve"> including</w:t>
      </w:r>
      <w:r w:rsidR="005E000E">
        <w:t>:</w:t>
      </w:r>
    </w:p>
    <w:p w14:paraId="22FF6C91" w14:textId="54E9173A" w:rsidR="005E000E" w:rsidRDefault="008E3B98" w:rsidP="004936B2">
      <w:pPr>
        <w:pStyle w:val="ListBullet"/>
      </w:pPr>
      <w:r w:rsidRPr="008E3B98">
        <w:t>ASEL standards</w:t>
      </w:r>
    </w:p>
    <w:p w14:paraId="7DF33C9B" w14:textId="3295D2D2" w:rsidR="005E000E" w:rsidRDefault="008E3B98" w:rsidP="004936B2">
      <w:pPr>
        <w:pStyle w:val="ListBullet"/>
      </w:pPr>
      <w:r w:rsidRPr="008E3B98">
        <w:t>applicable approved export programs</w:t>
      </w:r>
    </w:p>
    <w:p w14:paraId="22AB3C38" w14:textId="0D2CE96F" w:rsidR="005E000E" w:rsidRDefault="008E3B98" w:rsidP="004936B2">
      <w:pPr>
        <w:pStyle w:val="ListBullet"/>
      </w:pPr>
      <w:r w:rsidRPr="008E3B98">
        <w:t>approved arrangements</w:t>
      </w:r>
    </w:p>
    <w:p w14:paraId="62F3727C" w14:textId="73C39E1E" w:rsidR="005E000E" w:rsidRDefault="008E3B98" w:rsidP="004936B2">
      <w:pPr>
        <w:pStyle w:val="ListBullet"/>
      </w:pPr>
      <w:r w:rsidRPr="008E3B98">
        <w:t>any applicable conditions, and conditions of any applicable export instruments.</w:t>
      </w:r>
    </w:p>
    <w:p w14:paraId="77A41CE1" w14:textId="1D353846" w:rsidR="008E3B98" w:rsidRDefault="008E3B98" w:rsidP="008E3B98">
      <w:r w:rsidRPr="008E3B98">
        <w:t>The program is due to commence in 2021.</w:t>
      </w:r>
    </w:p>
    <w:p w14:paraId="7611E12B" w14:textId="1FD9BD7A" w:rsidR="00570E4B" w:rsidRPr="008E3B98" w:rsidRDefault="00570E4B" w:rsidP="00E437BF">
      <w:pPr>
        <w:pStyle w:val="Heading4"/>
      </w:pPr>
      <w:r w:rsidRPr="00E05150">
        <w:t>Inspector-</w:t>
      </w:r>
      <w:r w:rsidR="00871958">
        <w:t>g</w:t>
      </w:r>
      <w:r w:rsidRPr="00E05150">
        <w:t>eneral’s assessment</w:t>
      </w:r>
    </w:p>
    <w:p w14:paraId="58934FA9" w14:textId="54EAAF3F" w:rsidR="00CD3336" w:rsidRDefault="001127F6" w:rsidP="008E3B98">
      <w:r>
        <w:t>T</w:t>
      </w:r>
      <w:r w:rsidR="008E3B98" w:rsidRPr="008E3B98">
        <w:t xml:space="preserve">he </w:t>
      </w:r>
      <w:r w:rsidR="000E5D3A">
        <w:t>i</w:t>
      </w:r>
      <w:r w:rsidR="00BB3286">
        <w:t>nspector-</w:t>
      </w:r>
      <w:r w:rsidR="000E5D3A">
        <w:t>g</w:t>
      </w:r>
      <w:r w:rsidR="00BB3286">
        <w:t>eneral</w:t>
      </w:r>
      <w:r w:rsidR="008E3B98" w:rsidRPr="008E3B98">
        <w:t xml:space="preserve"> has not been provided with evidence of improvements to the compliance monitoring approach that </w:t>
      </w:r>
      <w:r w:rsidR="00BB3286">
        <w:t>align with</w:t>
      </w:r>
      <w:r w:rsidR="008E3B98" w:rsidRPr="008E3B98">
        <w:t xml:space="preserve"> the intent of this recommendation</w:t>
      </w:r>
      <w:r w:rsidR="00C119A5">
        <w:t>.</w:t>
      </w:r>
      <w:r w:rsidR="008E3B98" w:rsidRPr="008E3B98">
        <w:t xml:space="preserve"> </w:t>
      </w:r>
      <w:r>
        <w:t>T</w:t>
      </w:r>
      <w:r w:rsidR="008E3B98" w:rsidRPr="008E3B98">
        <w:t xml:space="preserve">he </w:t>
      </w:r>
      <w:r w:rsidR="00C119A5">
        <w:t xml:space="preserve">department’s </w:t>
      </w:r>
      <w:r w:rsidR="008E3B98" w:rsidRPr="008E3B98">
        <w:t xml:space="preserve">inability to deliver tangible on-ground compliance monitoring actions until 2021 does not provide confidence in </w:t>
      </w:r>
      <w:r w:rsidR="00C119A5">
        <w:t>its</w:t>
      </w:r>
      <w:r w:rsidR="00C119A5" w:rsidRPr="008E3B98">
        <w:t xml:space="preserve"> </w:t>
      </w:r>
      <w:r w:rsidR="008E3B98" w:rsidRPr="008E3B98">
        <w:t>agility</w:t>
      </w:r>
      <w:r>
        <w:t>,</w:t>
      </w:r>
      <w:r w:rsidR="008E3B98" w:rsidRPr="008E3B98">
        <w:t xml:space="preserve"> </w:t>
      </w:r>
      <w:r>
        <w:t xml:space="preserve">and </w:t>
      </w:r>
      <w:r w:rsidR="008E3B98" w:rsidRPr="008E3B98">
        <w:t>does not meet the intent of</w:t>
      </w:r>
      <w:r w:rsidR="004C5BBB">
        <w:t xml:space="preserve"> </w:t>
      </w:r>
      <w:r w:rsidR="006932ED">
        <w:t xml:space="preserve">Moss </w:t>
      </w:r>
      <w:r w:rsidR="008E3B98" w:rsidRPr="008E3B98">
        <w:t>recommendation 5</w:t>
      </w:r>
      <w:r>
        <w:t xml:space="preserve"> or the </w:t>
      </w:r>
      <w:r w:rsidR="000E5D3A">
        <w:t>i</w:t>
      </w:r>
      <w:r>
        <w:t>nspector-</w:t>
      </w:r>
      <w:r w:rsidR="000E5D3A">
        <w:t>g</w:t>
      </w:r>
      <w:r>
        <w:t xml:space="preserve">eneral’s </w:t>
      </w:r>
      <w:r w:rsidR="003A2DD2">
        <w:t xml:space="preserve">recommendation 4(d) </w:t>
      </w:r>
      <w:r w:rsidR="006D4C07">
        <w:t>(</w:t>
      </w:r>
      <w:r w:rsidR="00785611">
        <w:t>Inspector-</w:t>
      </w:r>
      <w:r w:rsidR="00871958">
        <w:t>g</w:t>
      </w:r>
      <w:r w:rsidR="00785611">
        <w:t xml:space="preserve">eneral </w:t>
      </w:r>
      <w:r w:rsidR="006D4C07">
        <w:t>2020)</w:t>
      </w:r>
      <w:r>
        <w:t>.</w:t>
      </w:r>
      <w:r w:rsidR="00BC6DC3">
        <w:t xml:space="preserve"> </w:t>
      </w:r>
      <w:r w:rsidR="008E3B98" w:rsidRPr="008E3B98">
        <w:t>It also casts doubt on the department’s capacity to address the coordination and integration of effort issues implicit in</w:t>
      </w:r>
      <w:r w:rsidR="004C5BBB">
        <w:t xml:space="preserve"> </w:t>
      </w:r>
      <w:r w:rsidR="00445C60">
        <w:t>Moss Review recommendations</w:t>
      </w:r>
      <w:r w:rsidR="008E3B98" w:rsidRPr="008E3B98">
        <w:t xml:space="preserve"> </w:t>
      </w:r>
      <w:r w:rsidR="00C119A5">
        <w:t xml:space="preserve">10 and </w:t>
      </w:r>
      <w:r w:rsidR="008E3B98" w:rsidRPr="008E3B98">
        <w:t>13.</w:t>
      </w:r>
    </w:p>
    <w:p w14:paraId="7E97733D" w14:textId="62790C3A" w:rsidR="008E3B98" w:rsidRPr="008E3B98" w:rsidRDefault="00CD3336" w:rsidP="008E3B98">
      <w:r w:rsidRPr="003B1C33">
        <w:t>Addressing t</w:t>
      </w:r>
      <w:r w:rsidR="00DE371A" w:rsidRPr="003B1C33">
        <w:t xml:space="preserve">hese </w:t>
      </w:r>
      <w:r w:rsidRPr="003B1C33">
        <w:t>recommendations is</w:t>
      </w:r>
      <w:r w:rsidR="00DE371A" w:rsidRPr="003B1C33">
        <w:t xml:space="preserve"> fundamental to </w:t>
      </w:r>
      <w:r w:rsidR="00C119A5" w:rsidRPr="003B1C33">
        <w:t>the effectiveness and efficiency of</w:t>
      </w:r>
      <w:r w:rsidR="00DE371A" w:rsidRPr="003B1C33">
        <w:t xml:space="preserve"> regulatory practice.</w:t>
      </w:r>
      <w:r w:rsidR="00C8538D">
        <w:t xml:space="preserve"> </w:t>
      </w:r>
      <w:r>
        <w:t>T</w:t>
      </w:r>
      <w:r w:rsidR="00C8538D">
        <w:t>he</w:t>
      </w:r>
      <w:r w:rsidR="00C8538D" w:rsidRPr="00C8538D">
        <w:t xml:space="preserve"> </w:t>
      </w:r>
      <w:r w:rsidR="00A56CC4">
        <w:t>Australian G</w:t>
      </w:r>
      <w:r w:rsidR="00C8538D">
        <w:t>overnment’s 2020</w:t>
      </w:r>
      <w:r>
        <w:t>–</w:t>
      </w:r>
      <w:r w:rsidR="00C8538D">
        <w:t xml:space="preserve">21 budget measure for improving </w:t>
      </w:r>
      <w:r>
        <w:t xml:space="preserve">the </w:t>
      </w:r>
      <w:r w:rsidR="00C8538D">
        <w:t xml:space="preserve">regulation </w:t>
      </w:r>
      <w:r>
        <w:t xml:space="preserve">of </w:t>
      </w:r>
      <w:r w:rsidR="00C8538D">
        <w:t>agricultural exports provides an opportunity for the department to make the change in regulatory practice envisage</w:t>
      </w:r>
      <w:r>
        <w:t>d</w:t>
      </w:r>
      <w:r w:rsidR="00C8538D">
        <w:t xml:space="preserve"> by </w:t>
      </w:r>
      <w:r w:rsidR="00A56CC4">
        <w:t xml:space="preserve">Moss Review </w:t>
      </w:r>
      <w:r w:rsidR="00C8538D">
        <w:t>recommendation</w:t>
      </w:r>
      <w:r w:rsidR="00A56CC4">
        <w:t>s</w:t>
      </w:r>
      <w:r w:rsidR="003916F8">
        <w:t xml:space="preserve"> </w:t>
      </w:r>
      <w:r w:rsidR="00A56CC4">
        <w:t xml:space="preserve">5 and </w:t>
      </w:r>
      <w:r w:rsidR="003916F8">
        <w:t>7</w:t>
      </w:r>
      <w:r w:rsidR="00A65A21">
        <w:t xml:space="preserve"> (see </w:t>
      </w:r>
      <w:hyperlink w:anchor="_Toc27476183" w:history="1">
        <w:r w:rsidR="00A65A21" w:rsidRPr="00A65A21">
          <w:rPr>
            <w:rStyle w:val="Hyperlink"/>
          </w:rPr>
          <w:t>2 Improved regulatory practice</w:t>
        </w:r>
      </w:hyperlink>
      <w:r w:rsidR="00A65A21">
        <w:t>)</w:t>
      </w:r>
      <w:r w:rsidR="009B7342">
        <w:t>.</w:t>
      </w:r>
    </w:p>
    <w:p w14:paraId="2A1FABC7" w14:textId="4F684501" w:rsidR="00CD3336" w:rsidRDefault="005E000E" w:rsidP="004936B2">
      <w:pPr>
        <w:pStyle w:val="BoxHeading"/>
      </w:pPr>
      <w:r>
        <w:t xml:space="preserve">Moss </w:t>
      </w:r>
      <w:r w:rsidR="00103977">
        <w:t xml:space="preserve">Review </w:t>
      </w:r>
      <w:r>
        <w:t>r</w:t>
      </w:r>
      <w:r w:rsidR="008E3B98" w:rsidRPr="008E3B98">
        <w:t>ecommendation 9</w:t>
      </w:r>
    </w:p>
    <w:p w14:paraId="132CF628" w14:textId="2D52753C" w:rsidR="008E3B98" w:rsidRDefault="008E3B98" w:rsidP="00CD3336">
      <w:pPr>
        <w:pStyle w:val="BoxText"/>
      </w:pPr>
      <w:r w:rsidRPr="008E3B98">
        <w:t>That the department ensure reportable mortality events and other non-compliance relating to live animal exports, are investigated by staff members with appropriate skills and training who are sufficiently resourced to deliver timely outcomes.</w:t>
      </w:r>
    </w:p>
    <w:p w14:paraId="4700B52C" w14:textId="24E6B22E" w:rsidR="00CD3336" w:rsidRPr="004936B2" w:rsidRDefault="00CD3336" w:rsidP="004936B2">
      <w:pPr>
        <w:pStyle w:val="BoxText"/>
        <w:rPr>
          <w:b/>
          <w:bCs/>
        </w:rPr>
      </w:pPr>
      <w:r w:rsidRPr="004936B2">
        <w:rPr>
          <w:rStyle w:val="Strong"/>
        </w:rPr>
        <w:t>Implementation status</w:t>
      </w:r>
    </w:p>
    <w:p w14:paraId="3EEC0DE9" w14:textId="00613247" w:rsidR="008E3B98" w:rsidRPr="004936B2" w:rsidRDefault="008E3B98" w:rsidP="004936B2">
      <w:pPr>
        <w:pStyle w:val="BoxTextBullet"/>
      </w:pPr>
      <w:r w:rsidRPr="004936B2">
        <w:t xml:space="preserve">Department’s </w:t>
      </w:r>
      <w:r w:rsidR="00C1766A" w:rsidRPr="004936B2">
        <w:t>assessment</w:t>
      </w:r>
      <w:r w:rsidRPr="004936B2">
        <w:t>: Complete</w:t>
      </w:r>
    </w:p>
    <w:p w14:paraId="2792705E" w14:textId="411E80F8" w:rsidR="00CD3336" w:rsidRPr="004936B2" w:rsidRDefault="008A5824" w:rsidP="004936B2">
      <w:pPr>
        <w:pStyle w:val="BoxTextBullet"/>
      </w:pPr>
      <w:r>
        <w:t>Inspector-</w:t>
      </w:r>
      <w:r w:rsidR="00871958">
        <w:t>g</w:t>
      </w:r>
      <w:r>
        <w:t>eneral’s assessment:</w:t>
      </w:r>
      <w:r w:rsidR="00CD3336" w:rsidRPr="004936B2">
        <w:t xml:space="preserve"> Implemented – ongoing</w:t>
      </w:r>
    </w:p>
    <w:p w14:paraId="448F3FC0" w14:textId="77777777" w:rsidR="003916F8" w:rsidRDefault="003916F8" w:rsidP="00E437BF">
      <w:pPr>
        <w:pStyle w:val="Heading4"/>
      </w:pPr>
      <w:r>
        <w:t>Department’s response: Support</w:t>
      </w:r>
    </w:p>
    <w:p w14:paraId="00DE7206" w14:textId="232F5D89" w:rsidR="008E3B98" w:rsidRPr="008E3B98" w:rsidRDefault="008E3B98" w:rsidP="008E3B98">
      <w:r w:rsidRPr="00913F5C">
        <w:t>The L</w:t>
      </w:r>
      <w:r w:rsidR="009B56F7" w:rsidRPr="00913F5C">
        <w:t xml:space="preserve">ive </w:t>
      </w:r>
      <w:r w:rsidRPr="00913F5C">
        <w:t>A</w:t>
      </w:r>
      <w:r w:rsidR="009B56F7" w:rsidRPr="00913F5C">
        <w:t xml:space="preserve">nimal </w:t>
      </w:r>
      <w:r w:rsidRPr="00913F5C">
        <w:t>E</w:t>
      </w:r>
      <w:r w:rsidR="009B56F7" w:rsidRPr="00913F5C">
        <w:t>xport</w:t>
      </w:r>
      <w:r w:rsidRPr="00913F5C">
        <w:t xml:space="preserve"> </w:t>
      </w:r>
      <w:r w:rsidR="009B56F7" w:rsidRPr="00913F5C">
        <w:t>B</w:t>
      </w:r>
      <w:r w:rsidRPr="00913F5C">
        <w:t>ranch has</w:t>
      </w:r>
      <w:r w:rsidRPr="008E3B98">
        <w:t xml:space="preserve"> committed to providing the E</w:t>
      </w:r>
      <w:r w:rsidR="009B56F7">
        <w:t xml:space="preserve">xporter </w:t>
      </w:r>
      <w:r w:rsidRPr="008E3B98">
        <w:t>S</w:t>
      </w:r>
      <w:r w:rsidR="009B56F7">
        <w:t xml:space="preserve">upply </w:t>
      </w:r>
      <w:r w:rsidRPr="008E3B98">
        <w:t>C</w:t>
      </w:r>
      <w:r w:rsidR="009B56F7">
        <w:t xml:space="preserve">hain </w:t>
      </w:r>
      <w:r w:rsidRPr="008E3B98">
        <w:t>A</w:t>
      </w:r>
      <w:r w:rsidR="009B56F7">
        <w:t xml:space="preserve">ssurance </w:t>
      </w:r>
      <w:r w:rsidR="006D4C07">
        <w:t>S</w:t>
      </w:r>
      <w:r w:rsidR="009B56F7">
        <w:t>ystem</w:t>
      </w:r>
      <w:r w:rsidRPr="008E3B98">
        <w:t xml:space="preserve"> and </w:t>
      </w:r>
      <w:r w:rsidR="00DE7E56">
        <w:t>i</w:t>
      </w:r>
      <w:r w:rsidRPr="008E3B98">
        <w:t xml:space="preserve">ndependent </w:t>
      </w:r>
      <w:r w:rsidR="00DE7E56">
        <w:t>o</w:t>
      </w:r>
      <w:r w:rsidRPr="008E3B98">
        <w:t xml:space="preserve">bserver teams </w:t>
      </w:r>
      <w:r w:rsidR="00F217CB">
        <w:t xml:space="preserve">with training in the </w:t>
      </w:r>
      <w:r w:rsidRPr="008E3B98">
        <w:t xml:space="preserve">Certificate IV </w:t>
      </w:r>
      <w:r w:rsidR="00C24AD5">
        <w:t>in</w:t>
      </w:r>
      <w:r w:rsidRPr="008E3B98">
        <w:t xml:space="preserve"> Government Investigations</w:t>
      </w:r>
      <w:r w:rsidR="00F217CB">
        <w:t xml:space="preserve"> (</w:t>
      </w:r>
      <w:r w:rsidRPr="008E3B98">
        <w:t>Regulatory Compliance</w:t>
      </w:r>
      <w:r w:rsidR="00F217CB">
        <w:t>)</w:t>
      </w:r>
      <w:r w:rsidRPr="008E3B98">
        <w:t xml:space="preserve">. </w:t>
      </w:r>
      <w:r w:rsidR="00F217CB">
        <w:t>T</w:t>
      </w:r>
      <w:r w:rsidRPr="008E3B98">
        <w:t>he</w:t>
      </w:r>
      <w:r w:rsidR="00E21426">
        <w:t xml:space="preserve"> </w:t>
      </w:r>
      <w:r w:rsidRPr="008E3B98">
        <w:t>team</w:t>
      </w:r>
      <w:r w:rsidR="00B965B8">
        <w:t>s</w:t>
      </w:r>
      <w:r w:rsidRPr="008E3B98">
        <w:t xml:space="preserve"> ha</w:t>
      </w:r>
      <w:r w:rsidR="00B965B8">
        <w:t>ve</w:t>
      </w:r>
      <w:r w:rsidRPr="008E3B98">
        <w:t xml:space="preserve"> amended the way </w:t>
      </w:r>
      <w:r w:rsidR="00B965B8">
        <w:t>they</w:t>
      </w:r>
      <w:r w:rsidRPr="008E3B98">
        <w:t xml:space="preserve"> provide investigation report</w:t>
      </w:r>
      <w:r w:rsidR="003A2DD2">
        <w:t>s</w:t>
      </w:r>
      <w:r w:rsidRPr="008E3B98">
        <w:t xml:space="preserve"> to the decision</w:t>
      </w:r>
      <w:r w:rsidR="005E000E">
        <w:t>-</w:t>
      </w:r>
      <w:r w:rsidRPr="008E3B98">
        <w:t>maker</w:t>
      </w:r>
      <w:r w:rsidR="00F217CB" w:rsidRPr="00F217CB">
        <w:t xml:space="preserve">. The </w:t>
      </w:r>
      <w:r w:rsidRPr="00F217CB">
        <w:t>basis of the investigation outcomes and the recommended penalties and corrective action</w:t>
      </w:r>
      <w:r w:rsidR="00F217CB" w:rsidRPr="004936B2">
        <w:t xml:space="preserve"> are now more clearly presented</w:t>
      </w:r>
      <w:r w:rsidRPr="00F217CB">
        <w:t>.</w:t>
      </w:r>
    </w:p>
    <w:p w14:paraId="16C5F26F" w14:textId="0BCD95B1" w:rsidR="004C5611" w:rsidRDefault="004C5611" w:rsidP="00E437BF">
      <w:pPr>
        <w:pStyle w:val="Heading4"/>
      </w:pPr>
      <w:r w:rsidRPr="00E05150">
        <w:lastRenderedPageBreak/>
        <w:t>Inspector-</w:t>
      </w:r>
      <w:r w:rsidR="00871958">
        <w:t>g</w:t>
      </w:r>
      <w:r w:rsidRPr="00E05150">
        <w:t>eneral</w:t>
      </w:r>
      <w:r w:rsidR="008515DB" w:rsidRPr="00E05150">
        <w:t>’s</w:t>
      </w:r>
      <w:r w:rsidRPr="00E05150">
        <w:t xml:space="preserve"> assessment</w:t>
      </w:r>
    </w:p>
    <w:p w14:paraId="6A9855F6" w14:textId="73251886" w:rsidR="008E3B98" w:rsidRPr="008E3B98" w:rsidRDefault="00293E7A" w:rsidP="008E3B98">
      <w:r w:rsidRPr="008E3B98">
        <w:t xml:space="preserve">The </w:t>
      </w:r>
      <w:r w:rsidR="000E5D3A">
        <w:t>i</w:t>
      </w:r>
      <w:r>
        <w:t>nspector-</w:t>
      </w:r>
      <w:r w:rsidR="000E5D3A">
        <w:t>g</w:t>
      </w:r>
      <w:r>
        <w:t>eneral</w:t>
      </w:r>
      <w:r w:rsidRPr="008E3B98">
        <w:t xml:space="preserve"> acknowledges </w:t>
      </w:r>
      <w:r w:rsidR="00F217CB">
        <w:t xml:space="preserve">that </w:t>
      </w:r>
      <w:r w:rsidRPr="008E3B98">
        <w:t>the</w:t>
      </w:r>
      <w:r w:rsidR="00F217CB" w:rsidRPr="008E3B98">
        <w:t xml:space="preserve"> department</w:t>
      </w:r>
      <w:r w:rsidR="00F217CB">
        <w:t>’s</w:t>
      </w:r>
      <w:r w:rsidR="00F217CB" w:rsidRPr="008E3B98">
        <w:t xml:space="preserve"> Compliance Division</w:t>
      </w:r>
      <w:r w:rsidR="00F217CB">
        <w:t xml:space="preserve"> has </w:t>
      </w:r>
      <w:r w:rsidRPr="008E3B98">
        <w:t>significant investigation expertise.</w:t>
      </w:r>
      <w:r>
        <w:t xml:space="preserve"> </w:t>
      </w:r>
      <w:r w:rsidR="00F217CB">
        <w:t>However, a</w:t>
      </w:r>
      <w:r w:rsidR="008E3B98" w:rsidRPr="008E3B98">
        <w:t>ll officers involved in the regulation of live</w:t>
      </w:r>
      <w:r w:rsidR="00D34717">
        <w:t>stock</w:t>
      </w:r>
      <w:r w:rsidR="008E3B98" w:rsidRPr="008E3B98">
        <w:t xml:space="preserve"> animal exports, including officers with veterinary and animal science skills and expertise, need to be trained</w:t>
      </w:r>
      <w:r>
        <w:t xml:space="preserve"> sufficiently </w:t>
      </w:r>
      <w:r w:rsidR="008E3B98" w:rsidRPr="008E3B98">
        <w:t>in legal, investigation, compliance and enforcement matters</w:t>
      </w:r>
      <w:r>
        <w:t xml:space="preserve"> to ensure that their work contributes effectively to an integrated regulatory approach</w:t>
      </w:r>
      <w:r w:rsidR="008E3B98" w:rsidRPr="008E3B98">
        <w:t>.</w:t>
      </w:r>
      <w:r w:rsidR="003916F8">
        <w:t xml:space="preserve"> Providing training in Certificate IV in Government Investigations (Regulatory Compliance) is an important part of increasing and maintaining this capability in the </w:t>
      </w:r>
      <w:r w:rsidR="00347579">
        <w:t xml:space="preserve">Plant and </w:t>
      </w:r>
      <w:r w:rsidR="003916F8">
        <w:t>Live Animal Exports Division and should continue.</w:t>
      </w:r>
    </w:p>
    <w:p w14:paraId="7126AB89" w14:textId="10733DC1" w:rsidR="008E3B98" w:rsidRPr="008E3B98" w:rsidRDefault="008E3B98" w:rsidP="008E3B98">
      <w:r w:rsidRPr="008E3B98">
        <w:t xml:space="preserve">Detection of non-compliance, and taking appropriate enforcement action where it is detected, </w:t>
      </w:r>
      <w:r w:rsidR="00F217CB">
        <w:t>are</w:t>
      </w:r>
      <w:r w:rsidRPr="008E3B98">
        <w:t xml:space="preserve"> fundamental functions of an effective regulator. Despite a long history of significant incidents and events</w:t>
      </w:r>
      <w:r w:rsidR="003109C3">
        <w:t xml:space="preserve">, as listed in the </w:t>
      </w:r>
      <w:r w:rsidR="006932ED">
        <w:t>Moss Review</w:t>
      </w:r>
      <w:r w:rsidR="00087906" w:rsidRPr="00695AFE">
        <w:t xml:space="preserve">’s </w:t>
      </w:r>
      <w:r w:rsidR="00087906">
        <w:t>chronology</w:t>
      </w:r>
      <w:r w:rsidR="003109C3">
        <w:t xml:space="preserve"> </w:t>
      </w:r>
      <w:r w:rsidR="003109C3" w:rsidRPr="001D71C2">
        <w:t>(Moss 2018</w:t>
      </w:r>
      <w:r w:rsidR="001F4C00" w:rsidRPr="001D71C2">
        <w:t>)</w:t>
      </w:r>
      <w:r w:rsidR="003109C3" w:rsidRPr="001D71C2">
        <w:t>,</w:t>
      </w:r>
      <w:r w:rsidRPr="008E3B98">
        <w:t xml:space="preserve"> the department has </w:t>
      </w:r>
      <w:r w:rsidR="00F217CB">
        <w:t xml:space="preserve">not </w:t>
      </w:r>
      <w:r w:rsidR="00293E7A">
        <w:t>put in place an effective proportionate regulatory model that includes</w:t>
      </w:r>
      <w:r w:rsidRPr="008E3B98">
        <w:t xml:space="preserve"> strong enforcement </w:t>
      </w:r>
      <w:r w:rsidRPr="00367DF9">
        <w:t>action</w:t>
      </w:r>
      <w:r w:rsidR="00DE2791" w:rsidRPr="00367DF9">
        <w:t>.</w:t>
      </w:r>
      <w:r w:rsidRPr="00367DF9">
        <w:t xml:space="preserve"> </w:t>
      </w:r>
      <w:r w:rsidR="00DE2791" w:rsidRPr="00367DF9">
        <w:t>There have been no</w:t>
      </w:r>
      <w:r w:rsidRPr="00367DF9">
        <w:t xml:space="preserve"> prosecutions </w:t>
      </w:r>
      <w:r w:rsidR="00367DF9" w:rsidRPr="00AC7D1D">
        <w:t>arising from major incidents</w:t>
      </w:r>
      <w:r w:rsidR="00367DF9" w:rsidRPr="00367DF9">
        <w:t xml:space="preserve"> </w:t>
      </w:r>
      <w:r w:rsidRPr="00367DF9">
        <w:t xml:space="preserve">under </w:t>
      </w:r>
      <w:r w:rsidR="00DE2791" w:rsidRPr="00367DF9">
        <w:t xml:space="preserve">any </w:t>
      </w:r>
      <w:r w:rsidR="00282921">
        <w:t xml:space="preserve">of the </w:t>
      </w:r>
      <w:r w:rsidR="00367DF9">
        <w:t>l</w:t>
      </w:r>
      <w:r w:rsidR="00367DF9" w:rsidRPr="00367DF9">
        <w:t xml:space="preserve">ive </w:t>
      </w:r>
      <w:r w:rsidR="00367DF9">
        <w:t>a</w:t>
      </w:r>
      <w:r w:rsidR="00DE2791" w:rsidRPr="00367DF9">
        <w:t xml:space="preserve">nimal </w:t>
      </w:r>
      <w:r w:rsidR="00367DF9">
        <w:t>e</w:t>
      </w:r>
      <w:r w:rsidR="00DE2791" w:rsidRPr="00367DF9">
        <w:t xml:space="preserve">xport </w:t>
      </w:r>
      <w:r w:rsidRPr="00367DF9">
        <w:t>Acts</w:t>
      </w:r>
      <w:r w:rsidR="001F4C00" w:rsidRPr="00367DF9">
        <w:t xml:space="preserve">, </w:t>
      </w:r>
      <w:r w:rsidR="00F217CB" w:rsidRPr="00367DF9">
        <w:t xml:space="preserve">even </w:t>
      </w:r>
      <w:r w:rsidR="001F4C00" w:rsidRPr="00367DF9">
        <w:t xml:space="preserve">though </w:t>
      </w:r>
      <w:r w:rsidR="007A5762" w:rsidRPr="00BE5C8D">
        <w:t>several</w:t>
      </w:r>
      <w:r w:rsidR="001F4C00" w:rsidRPr="00367DF9">
        <w:t xml:space="preserve"> have had significant industry</w:t>
      </w:r>
      <w:r w:rsidR="00F217CB" w:rsidRPr="00367DF9">
        <w:t>-</w:t>
      </w:r>
      <w:r w:rsidR="001F4C00" w:rsidRPr="00367DF9">
        <w:t xml:space="preserve">wide implications </w:t>
      </w:r>
      <w:r w:rsidR="0061719F" w:rsidRPr="0061719F">
        <w:t>including in some instances the suspension of trade</w:t>
      </w:r>
      <w:r w:rsidR="00D34717" w:rsidRPr="0061719F">
        <w:t>.</w:t>
      </w:r>
    </w:p>
    <w:p w14:paraId="30CDCFBB" w14:textId="7593E699" w:rsidR="00A2047D" w:rsidRDefault="008E3B98" w:rsidP="00BC4D86">
      <w:pPr>
        <w:rPr>
          <w:b/>
          <w:bCs/>
        </w:rPr>
      </w:pPr>
      <w:r w:rsidRPr="008E3B98">
        <w:t xml:space="preserve">The intent of </w:t>
      </w:r>
      <w:r w:rsidR="006932ED">
        <w:t xml:space="preserve">Moss </w:t>
      </w:r>
      <w:r w:rsidR="00367DF9">
        <w:t xml:space="preserve">Review </w:t>
      </w:r>
      <w:r w:rsidRPr="008E3B98">
        <w:t>recommendation</w:t>
      </w:r>
      <w:r w:rsidR="00F217CB">
        <w:t xml:space="preserve"> 9</w:t>
      </w:r>
      <w:r w:rsidR="00451FE9">
        <w:t xml:space="preserve"> </w:t>
      </w:r>
      <w:r w:rsidRPr="008E3B98">
        <w:t>was to seek improvements in regulatory practice that would ensure compliance</w:t>
      </w:r>
      <w:r w:rsidR="007A5762">
        <w:t xml:space="preserve"> </w:t>
      </w:r>
      <w:r w:rsidR="00A310B2">
        <w:t>through</w:t>
      </w:r>
      <w:r w:rsidRPr="008E3B98">
        <w:t xml:space="preserve"> delivering timely outcomes from investigations. </w:t>
      </w:r>
      <w:r w:rsidR="00293E7A">
        <w:t>As with</w:t>
      </w:r>
      <w:r w:rsidRPr="008E3B98">
        <w:t xml:space="preserve"> an</w:t>
      </w:r>
      <w:r w:rsidR="00293E7A">
        <w:t>y regulated</w:t>
      </w:r>
      <w:r w:rsidRPr="008E3B98">
        <w:t xml:space="preserve"> industry</w:t>
      </w:r>
      <w:r w:rsidR="00AD7E81">
        <w:t>,</w:t>
      </w:r>
      <w:r w:rsidRPr="008E3B98">
        <w:t xml:space="preserve"> th</w:t>
      </w:r>
      <w:r w:rsidR="00293E7A">
        <w:t>ere is a spectrum of performance that</w:t>
      </w:r>
      <w:r w:rsidRPr="008E3B98">
        <w:t xml:space="preserve"> </w:t>
      </w:r>
      <w:r w:rsidR="00293E7A">
        <w:t>includes</w:t>
      </w:r>
      <w:r w:rsidRPr="008E3B98">
        <w:t xml:space="preserve"> non-compliance</w:t>
      </w:r>
      <w:r w:rsidR="00293E7A">
        <w:t>, and in some cases repeated instances</w:t>
      </w:r>
      <w:r w:rsidR="00510E8D">
        <w:t xml:space="preserve"> of non-compliance</w:t>
      </w:r>
      <w:r w:rsidR="00293E7A">
        <w:t xml:space="preserve">. </w:t>
      </w:r>
      <w:r w:rsidR="00AD7E81">
        <w:t>I</w:t>
      </w:r>
      <w:r w:rsidRPr="008E3B98">
        <w:t xml:space="preserve">t </w:t>
      </w:r>
      <w:r w:rsidR="007A5762">
        <w:t>is</w:t>
      </w:r>
      <w:r w:rsidR="00293E7A">
        <w:t xml:space="preserve"> </w:t>
      </w:r>
      <w:r w:rsidR="00AD7E81">
        <w:t xml:space="preserve">therefore </w:t>
      </w:r>
      <w:r w:rsidR="003C5BE8">
        <w:t>reasonable</w:t>
      </w:r>
      <w:r w:rsidR="00293E7A">
        <w:t xml:space="preserve"> to expect</w:t>
      </w:r>
      <w:r w:rsidRPr="008E3B98">
        <w:t xml:space="preserve"> that, at least in some </w:t>
      </w:r>
      <w:r w:rsidR="00282921">
        <w:t>instances</w:t>
      </w:r>
      <w:r w:rsidRPr="008E3B98">
        <w:t xml:space="preserve">, a timely outcome </w:t>
      </w:r>
      <w:r w:rsidR="007A5762">
        <w:t xml:space="preserve">would </w:t>
      </w:r>
      <w:r w:rsidRPr="008E3B98">
        <w:t>involve prosecution</w:t>
      </w:r>
      <w:r w:rsidR="00293E7A">
        <w:t xml:space="preserve"> action for specific and general deterrence</w:t>
      </w:r>
      <w:r w:rsidR="00A65A21">
        <w:t xml:space="preserve"> (</w:t>
      </w:r>
      <w:r w:rsidR="00367DF9">
        <w:t xml:space="preserve">see </w:t>
      </w:r>
      <w:hyperlink w:anchor="_Toc27476183" w:history="1">
        <w:r w:rsidR="00A65A21" w:rsidRPr="00A65A21">
          <w:rPr>
            <w:rStyle w:val="Hyperlink"/>
          </w:rPr>
          <w:t>2 Improved regulatory practice</w:t>
        </w:r>
      </w:hyperlink>
      <w:r w:rsidR="00A65A21">
        <w:t>)</w:t>
      </w:r>
      <w:r w:rsidRPr="008E3B98">
        <w:t>.</w:t>
      </w:r>
    </w:p>
    <w:p w14:paraId="76AB1633" w14:textId="1FCBD7D8" w:rsidR="00C1766A" w:rsidRDefault="005E000E" w:rsidP="00BE5C8D">
      <w:pPr>
        <w:pStyle w:val="BoxHeading"/>
      </w:pPr>
      <w:r>
        <w:t xml:space="preserve">Moss </w:t>
      </w:r>
      <w:r w:rsidR="00103977">
        <w:t xml:space="preserve">Review </w:t>
      </w:r>
      <w:r>
        <w:t>r</w:t>
      </w:r>
      <w:r w:rsidR="00DB7C6F" w:rsidRPr="00743146">
        <w:t>ecommendation 10</w:t>
      </w:r>
    </w:p>
    <w:p w14:paraId="5A18775A" w14:textId="338D9164" w:rsidR="00DB7C6F" w:rsidRDefault="00DB7C6F" w:rsidP="00AD7E81">
      <w:pPr>
        <w:pStyle w:val="BoxText"/>
      </w:pPr>
      <w:r w:rsidRPr="00743146">
        <w:t>That a consolidated investigative capacity or a joint triage system b</w:t>
      </w:r>
      <w:r>
        <w:t>e</w:t>
      </w:r>
      <w:r w:rsidRPr="00743146">
        <w:t xml:space="preserve"> developed between the </w:t>
      </w:r>
      <w:r w:rsidR="00BE5C8D" w:rsidRPr="00743146">
        <w:t>department</w:t>
      </w:r>
      <w:r w:rsidR="00BE5C8D">
        <w:t>’s</w:t>
      </w:r>
      <w:r w:rsidRPr="00743146">
        <w:t xml:space="preserve"> </w:t>
      </w:r>
      <w:r w:rsidRPr="00BE5C8D">
        <w:t>Live Animal Export</w:t>
      </w:r>
      <w:r w:rsidR="00CB1E75">
        <w:t>s</w:t>
      </w:r>
      <w:r w:rsidRPr="00BE5C8D">
        <w:t xml:space="preserve"> Branch a</w:t>
      </w:r>
      <w:r w:rsidRPr="00CB1E75">
        <w:t>nd Enforcement and Sanctions Branch</w:t>
      </w:r>
      <w:r w:rsidRPr="00743146">
        <w:t xml:space="preserve"> to investigate issues concerning industry non-compliance with the Australian Standards for the Export of Livestock, the Exporter Supply Chain Assurance System and animal welfare standards.</w:t>
      </w:r>
    </w:p>
    <w:p w14:paraId="7CD4868C" w14:textId="631337F9" w:rsidR="00C1766A" w:rsidRPr="00BE5C8D" w:rsidRDefault="00C1766A" w:rsidP="00BE5C8D">
      <w:pPr>
        <w:pStyle w:val="BoxText"/>
        <w:keepNext/>
        <w:rPr>
          <w:b/>
          <w:bCs/>
        </w:rPr>
      </w:pPr>
      <w:r w:rsidRPr="008E3402">
        <w:rPr>
          <w:rStyle w:val="Strong"/>
        </w:rPr>
        <w:t>Implementation status</w:t>
      </w:r>
    </w:p>
    <w:p w14:paraId="77A7ABE8" w14:textId="5B63C760" w:rsidR="00DB7C6F" w:rsidRPr="00BE5C8D" w:rsidRDefault="00DB7C6F" w:rsidP="00BE5C8D">
      <w:pPr>
        <w:pStyle w:val="BoxTextBullet"/>
      </w:pPr>
      <w:r w:rsidRPr="00BE5C8D">
        <w:t xml:space="preserve">Department’s </w:t>
      </w:r>
      <w:r w:rsidR="00C1766A" w:rsidRPr="00BE5C8D">
        <w:t>assessment</w:t>
      </w:r>
      <w:r w:rsidRPr="00BE5C8D">
        <w:t xml:space="preserve">: </w:t>
      </w:r>
      <w:r w:rsidR="00871958">
        <w:t>Ongoing</w:t>
      </w:r>
    </w:p>
    <w:p w14:paraId="499C348B" w14:textId="5653A6ED" w:rsidR="00AD7E81" w:rsidRPr="007A5762" w:rsidRDefault="008A5824" w:rsidP="00BE5C8D">
      <w:pPr>
        <w:pStyle w:val="BoxTextBullet"/>
      </w:pPr>
      <w:r>
        <w:t>Inspector-</w:t>
      </w:r>
      <w:r w:rsidR="003C5381">
        <w:t>g</w:t>
      </w:r>
      <w:r>
        <w:t>eneral’s assessment:</w:t>
      </w:r>
      <w:r w:rsidR="00AD7E81" w:rsidRPr="00BE5C8D">
        <w:t xml:space="preserve"> Implemented – ongoing</w:t>
      </w:r>
    </w:p>
    <w:p w14:paraId="33F89A22" w14:textId="4442AC6E" w:rsidR="004F7201" w:rsidRDefault="004F7201" w:rsidP="00E437BF">
      <w:pPr>
        <w:pStyle w:val="Heading4"/>
      </w:pPr>
      <w:r>
        <w:t>Department’s response: Support</w:t>
      </w:r>
    </w:p>
    <w:p w14:paraId="767AD8EA" w14:textId="2A2AD052" w:rsidR="00DB7C6F" w:rsidRPr="00743146" w:rsidRDefault="00DB7C6F" w:rsidP="00DB7C6F">
      <w:r w:rsidRPr="00743146">
        <w:t xml:space="preserve">The </w:t>
      </w:r>
      <w:r w:rsidR="00347579">
        <w:t xml:space="preserve">Plant and </w:t>
      </w:r>
      <w:r w:rsidRPr="00BE5C8D">
        <w:t>Live Animal Export</w:t>
      </w:r>
      <w:r w:rsidR="00347579">
        <w:t>s</w:t>
      </w:r>
      <w:r w:rsidRPr="00BE5C8D">
        <w:t xml:space="preserve"> Division meets monthly</w:t>
      </w:r>
      <w:r w:rsidRPr="00347579">
        <w:t xml:space="preserve"> with</w:t>
      </w:r>
      <w:r w:rsidR="007A5762" w:rsidRPr="00347579">
        <w:t xml:space="preserve"> the</w:t>
      </w:r>
      <w:r w:rsidRPr="00347579">
        <w:t xml:space="preserve"> </w:t>
      </w:r>
      <w:r w:rsidRPr="00871958">
        <w:t>Compliance Division</w:t>
      </w:r>
      <w:r w:rsidRPr="00743146">
        <w:t xml:space="preserve">. The meetings focus on specific investigations. They </w:t>
      </w:r>
      <w:r w:rsidR="007A5762">
        <w:t>enable the branches to</w:t>
      </w:r>
      <w:r w:rsidRPr="00743146">
        <w:t xml:space="preserve"> prioritis</w:t>
      </w:r>
      <w:r w:rsidR="007A5762">
        <w:t>e</w:t>
      </w:r>
      <w:r w:rsidRPr="00743146">
        <w:t xml:space="preserve"> investigations so that resources are directed to the most serious matters.</w:t>
      </w:r>
    </w:p>
    <w:p w14:paraId="0B5B2922" w14:textId="694B6139" w:rsidR="004C5611" w:rsidRDefault="004C5611" w:rsidP="00E437BF">
      <w:pPr>
        <w:pStyle w:val="Heading4"/>
      </w:pPr>
      <w:r w:rsidRPr="00E05150">
        <w:t>Inspector-</w:t>
      </w:r>
      <w:r w:rsidR="003C5381">
        <w:t>g</w:t>
      </w:r>
      <w:r w:rsidRPr="00E05150">
        <w:t>eneral</w:t>
      </w:r>
      <w:r w:rsidR="008515DB" w:rsidRPr="00E05150">
        <w:t>’s</w:t>
      </w:r>
      <w:r w:rsidRPr="00E05150">
        <w:t xml:space="preserve"> assessment</w:t>
      </w:r>
      <w:r>
        <w:t xml:space="preserve"> </w:t>
      </w:r>
    </w:p>
    <w:p w14:paraId="033C8E71" w14:textId="77EDF267" w:rsidR="00DB7C6F" w:rsidRDefault="00DB7C6F" w:rsidP="00DB7C6F">
      <w:pPr>
        <w:rPr>
          <w:b/>
          <w:bCs/>
        </w:rPr>
      </w:pPr>
      <w:r w:rsidRPr="00743146">
        <w:t xml:space="preserve">The </w:t>
      </w:r>
      <w:r w:rsidR="000E5D3A">
        <w:t>i</w:t>
      </w:r>
      <w:r>
        <w:t>nspector-</w:t>
      </w:r>
      <w:r w:rsidR="000E5D3A">
        <w:t>g</w:t>
      </w:r>
      <w:r>
        <w:t>eneral</w:t>
      </w:r>
      <w:r w:rsidRPr="00743146">
        <w:t xml:space="preserve"> notes the</w:t>
      </w:r>
      <w:r>
        <w:t xml:space="preserve"> </w:t>
      </w:r>
      <w:r w:rsidRPr="00743146">
        <w:t xml:space="preserve">improvements to the coordination, prioritisation and handover of non-compliance matters. However, </w:t>
      </w:r>
      <w:r w:rsidR="00A85631">
        <w:t xml:space="preserve">Moss Review </w:t>
      </w:r>
      <w:r w:rsidRPr="00743146">
        <w:t>recommendation</w:t>
      </w:r>
      <w:r w:rsidR="00A85631">
        <w:t xml:space="preserve"> 10</w:t>
      </w:r>
      <w:r w:rsidRPr="00743146">
        <w:t xml:space="preserve"> needs</w:t>
      </w:r>
      <w:r>
        <w:t xml:space="preserve"> </w:t>
      </w:r>
      <w:r w:rsidRPr="00743146">
        <w:t xml:space="preserve">to be </w:t>
      </w:r>
      <w:r>
        <w:t>viewed</w:t>
      </w:r>
      <w:r w:rsidRPr="00743146">
        <w:t xml:space="preserve"> in the context of </w:t>
      </w:r>
      <w:r w:rsidR="00A85631">
        <w:t>several</w:t>
      </w:r>
      <w:r w:rsidRPr="00743146">
        <w:t xml:space="preserve"> other </w:t>
      </w:r>
      <w:r w:rsidR="006932ED">
        <w:t>Moss Review</w:t>
      </w:r>
      <w:r w:rsidRPr="00743146">
        <w:t xml:space="preserve"> recommendations aimed at improving the department’s regulatory practice</w:t>
      </w:r>
      <w:r w:rsidR="00A65A21">
        <w:t xml:space="preserve"> (see </w:t>
      </w:r>
      <w:hyperlink w:anchor="_Toc27476183" w:history="1">
        <w:r w:rsidR="00A65A21" w:rsidRPr="00A65A21">
          <w:rPr>
            <w:rStyle w:val="Hyperlink"/>
          </w:rPr>
          <w:t>2 Improved regulatory practice</w:t>
        </w:r>
      </w:hyperlink>
      <w:r w:rsidR="00A65A21">
        <w:t>)</w:t>
      </w:r>
      <w:r w:rsidRPr="00743146">
        <w:t>.</w:t>
      </w:r>
    </w:p>
    <w:p w14:paraId="21C1D3C0" w14:textId="3C81313F" w:rsidR="00AD7E81" w:rsidRDefault="005E000E" w:rsidP="0048032E">
      <w:pPr>
        <w:pStyle w:val="BoxHeading"/>
        <w:keepNext/>
      </w:pPr>
      <w:r>
        <w:lastRenderedPageBreak/>
        <w:t xml:space="preserve">Moss </w:t>
      </w:r>
      <w:r w:rsidR="00103977">
        <w:t xml:space="preserve">Review </w:t>
      </w:r>
      <w:r>
        <w:t>r</w:t>
      </w:r>
      <w:r w:rsidR="008E3B98" w:rsidRPr="008E3B98">
        <w:t>ecommendation 11</w:t>
      </w:r>
    </w:p>
    <w:p w14:paraId="59C8B0FB" w14:textId="434B1E9F" w:rsidR="008E3B98" w:rsidRDefault="008E3B98" w:rsidP="0048032E">
      <w:pPr>
        <w:pStyle w:val="BoxText"/>
        <w:keepNext/>
      </w:pPr>
      <w:r w:rsidRPr="008E3B98">
        <w:t>That the department ensure it receives the reporting necessary to assess the health and welfare of livestock during the export process.</w:t>
      </w:r>
    </w:p>
    <w:p w14:paraId="2A008C80" w14:textId="09E80F9D" w:rsidR="00AD7E81" w:rsidRPr="00BE5C8D" w:rsidRDefault="00AD7E81" w:rsidP="0048032E">
      <w:pPr>
        <w:pStyle w:val="BoxText"/>
        <w:keepNext/>
        <w:rPr>
          <w:b/>
          <w:bCs/>
        </w:rPr>
      </w:pPr>
      <w:r w:rsidRPr="008E3402">
        <w:rPr>
          <w:rStyle w:val="Strong"/>
        </w:rPr>
        <w:t>Implementation status</w:t>
      </w:r>
    </w:p>
    <w:p w14:paraId="033A7FFA" w14:textId="13628DDB" w:rsidR="008E3B98" w:rsidRPr="00BE5C8D" w:rsidRDefault="008E3B98" w:rsidP="0048032E">
      <w:pPr>
        <w:pStyle w:val="BoxTextBullet"/>
        <w:keepNext/>
      </w:pPr>
      <w:r w:rsidRPr="00BE5C8D">
        <w:t xml:space="preserve">Department’s </w:t>
      </w:r>
      <w:r w:rsidR="00AD7E81">
        <w:t>assessment</w:t>
      </w:r>
      <w:r w:rsidRPr="00BE5C8D">
        <w:t>: In progress</w:t>
      </w:r>
    </w:p>
    <w:p w14:paraId="66894B8F" w14:textId="6A818149" w:rsidR="00AD7E81" w:rsidRPr="008E3B98" w:rsidRDefault="00785611" w:rsidP="0048032E">
      <w:pPr>
        <w:pStyle w:val="BoxTextBullet"/>
        <w:keepNext/>
      </w:pPr>
      <w:r>
        <w:t>Inspector-</w:t>
      </w:r>
      <w:r w:rsidR="00541B0D">
        <w:t>g</w:t>
      </w:r>
      <w:r>
        <w:t>eneral</w:t>
      </w:r>
      <w:r w:rsidR="008515DB">
        <w:t>’s</w:t>
      </w:r>
      <w:r w:rsidRPr="00BE5C8D">
        <w:t xml:space="preserve"> </w:t>
      </w:r>
      <w:r w:rsidR="00AD7E81" w:rsidRPr="00BE5C8D">
        <w:t>assessment: In progress</w:t>
      </w:r>
    </w:p>
    <w:p w14:paraId="44EF36F7" w14:textId="77777777" w:rsidR="004F7201" w:rsidRDefault="004F7201" w:rsidP="00E437BF">
      <w:pPr>
        <w:pStyle w:val="Heading4"/>
      </w:pPr>
      <w:r>
        <w:t>Department’s response: Support</w:t>
      </w:r>
    </w:p>
    <w:p w14:paraId="764C57C8" w14:textId="384C7922" w:rsidR="008E3B98" w:rsidRPr="008E3B98" w:rsidRDefault="00A85631" w:rsidP="008E3B98">
      <w:r>
        <w:t>Some of t</w:t>
      </w:r>
      <w:r w:rsidR="008E3B98" w:rsidRPr="008E3B98">
        <w:t xml:space="preserve">he recommendations from the ASEL Technical Advisory Committee </w:t>
      </w:r>
      <w:r w:rsidRPr="008E3B98">
        <w:t>have been incorporated in</w:t>
      </w:r>
      <w:r w:rsidR="00367DF9">
        <w:t>to</w:t>
      </w:r>
      <w:r w:rsidRPr="008E3B98">
        <w:t xml:space="preserve"> ASEL 3.0</w:t>
      </w:r>
      <w:r>
        <w:t>. These include recommendations for</w:t>
      </w:r>
      <w:r w:rsidR="008E3B98" w:rsidRPr="008E3B98">
        <w:t xml:space="preserve"> reporting</w:t>
      </w:r>
      <w:r>
        <w:t xml:space="preserve"> </w:t>
      </w:r>
      <w:r w:rsidR="008E3B98" w:rsidRPr="008E3B98">
        <w:t xml:space="preserve">additional information in daily reports, end of voyage and end of journey reports, and registered premises mortality reports. The department is working with industry to build these requirements into the </w:t>
      </w:r>
      <w:proofErr w:type="spellStart"/>
      <w:r w:rsidR="008E3B98" w:rsidRPr="00654C64">
        <w:t>LIVEX</w:t>
      </w:r>
      <w:r w:rsidR="002B73BA">
        <w:t>c</w:t>
      </w:r>
      <w:r w:rsidR="008E3B98" w:rsidRPr="00654C64">
        <w:t>ollect</w:t>
      </w:r>
      <w:proofErr w:type="spellEnd"/>
      <w:r w:rsidR="008E3B98" w:rsidRPr="00654C64">
        <w:t xml:space="preserve"> data system</w:t>
      </w:r>
      <w:r w:rsidR="008E3B98" w:rsidRPr="008E3B98">
        <w:t xml:space="preserve"> to facilitate collection of this data, </w:t>
      </w:r>
      <w:r>
        <w:t>and</w:t>
      </w:r>
      <w:r w:rsidR="008E3B98" w:rsidRPr="008E3B98">
        <w:t xml:space="preserve"> improv</w:t>
      </w:r>
      <w:r>
        <w:t>e</w:t>
      </w:r>
      <w:r w:rsidR="008E3B98" w:rsidRPr="008E3B98">
        <w:t xml:space="preserve"> access and analysis capabilities within its systems. New reporting requirements </w:t>
      </w:r>
      <w:r w:rsidR="00E437BF">
        <w:t>were</w:t>
      </w:r>
      <w:r w:rsidR="008E3B98" w:rsidRPr="008E3B98">
        <w:t xml:space="preserve"> implemented </w:t>
      </w:r>
      <w:r w:rsidR="00E437BF">
        <w:t>from</w:t>
      </w:r>
      <w:r w:rsidR="00E437BF" w:rsidRPr="008E3B98">
        <w:t xml:space="preserve"> </w:t>
      </w:r>
      <w:r w:rsidR="00D21D03" w:rsidRPr="008E3B98">
        <w:t>1</w:t>
      </w:r>
      <w:r w:rsidR="00D21D03">
        <w:t> </w:t>
      </w:r>
      <w:r w:rsidR="008E3B98" w:rsidRPr="008E3B98">
        <w:t>November 2020.</w:t>
      </w:r>
    </w:p>
    <w:p w14:paraId="69D09C2D" w14:textId="63FE3026" w:rsidR="008E3B98" w:rsidRPr="008E3B98" w:rsidRDefault="008E3B98" w:rsidP="008E3B98">
      <w:r w:rsidRPr="008E3B98">
        <w:t xml:space="preserve">The </w:t>
      </w:r>
      <w:r w:rsidR="004D7AAB">
        <w:t>i</w:t>
      </w:r>
      <w:r w:rsidR="001F4C00">
        <w:t xml:space="preserve">ndependent </w:t>
      </w:r>
      <w:r w:rsidR="004D7AAB">
        <w:t>o</w:t>
      </w:r>
      <w:r w:rsidR="001F4C00">
        <w:t>bserver</w:t>
      </w:r>
      <w:r w:rsidRPr="008E3B98">
        <w:t xml:space="preserve"> program is in place to provide additional assurance of the effectiveness of exporter arrangements in managing animal welfare on board vessels. This includes providing information to the department on ASEL compliance. Summary reports are published for each voyage.</w:t>
      </w:r>
    </w:p>
    <w:p w14:paraId="03045952" w14:textId="68CFEF95" w:rsidR="008E3B98" w:rsidRPr="008E3B98" w:rsidRDefault="008E3B98" w:rsidP="008E3B98">
      <w:r w:rsidRPr="008E3B98">
        <w:t xml:space="preserve">The </w:t>
      </w:r>
      <w:r w:rsidRPr="004A073C">
        <w:t>veterinary</w:t>
      </w:r>
      <w:r w:rsidR="0041469B" w:rsidRPr="004A073C">
        <w:t>-led</w:t>
      </w:r>
      <w:r w:rsidRPr="004A073C">
        <w:t xml:space="preserve"> Technical Analysis Team </w:t>
      </w:r>
      <w:r w:rsidR="00367DF9" w:rsidRPr="004A073C">
        <w:t xml:space="preserve">in the </w:t>
      </w:r>
      <w:r w:rsidRPr="004A073C">
        <w:t>A</w:t>
      </w:r>
      <w:r w:rsidR="001F4C00" w:rsidRPr="004A073C">
        <w:t xml:space="preserve">nimal </w:t>
      </w:r>
      <w:r w:rsidRPr="004A073C">
        <w:t>W</w:t>
      </w:r>
      <w:r w:rsidR="001F4C00" w:rsidRPr="004A073C">
        <w:t xml:space="preserve">elfare </w:t>
      </w:r>
      <w:r w:rsidRPr="004A073C">
        <w:t>B</w:t>
      </w:r>
      <w:r w:rsidR="001F4C00" w:rsidRPr="004A073C">
        <w:t>ranch</w:t>
      </w:r>
      <w:r w:rsidRPr="008E3B98">
        <w:t xml:space="preserve"> </w:t>
      </w:r>
      <w:r w:rsidRPr="00654C64">
        <w:t xml:space="preserve">supports </w:t>
      </w:r>
      <w:r w:rsidR="00654C64" w:rsidRPr="00654C64">
        <w:t>the use</w:t>
      </w:r>
      <w:r w:rsidRPr="00654C64">
        <w:t xml:space="preserve"> of evidence-based technical analysis of animal welfare in live animal exports</w:t>
      </w:r>
      <w:r w:rsidR="00654C64" w:rsidRPr="00654C64">
        <w:t>. This data is used</w:t>
      </w:r>
      <w:r w:rsidRPr="00654C64">
        <w:t xml:space="preserve"> to investigate animal welfare issues, report on voyage outcomes and support continual improvements</w:t>
      </w:r>
      <w:r w:rsidRPr="008E3B98">
        <w:t xml:space="preserve"> to the trade.</w:t>
      </w:r>
    </w:p>
    <w:p w14:paraId="58E352A3" w14:textId="27DDABCB" w:rsidR="008E3B98" w:rsidRDefault="008E3B98" w:rsidP="008E3B98">
      <w:r w:rsidRPr="008E3B98">
        <w:t xml:space="preserve">Working groups have been established on animal welfare indicators (industry-led) and consistency in </w:t>
      </w:r>
      <w:r w:rsidR="001530AB">
        <w:t>terminology for animal welfare</w:t>
      </w:r>
      <w:r w:rsidR="001530AB" w:rsidRPr="008E3B98">
        <w:t xml:space="preserve"> </w:t>
      </w:r>
      <w:r w:rsidRPr="008E3B98">
        <w:t>reporting (department-led)</w:t>
      </w:r>
      <w:r w:rsidR="00D21D03">
        <w:t>. Their</w:t>
      </w:r>
      <w:r w:rsidRPr="008E3B98">
        <w:t xml:space="preserve"> outputs will be used to improve the collection, consistency and understanding of animal welfare reporting.</w:t>
      </w:r>
    </w:p>
    <w:p w14:paraId="338AB7D6" w14:textId="54CF5660" w:rsidR="00570E4B" w:rsidRPr="008E3B98" w:rsidRDefault="00570E4B" w:rsidP="00E437BF">
      <w:pPr>
        <w:pStyle w:val="Heading4"/>
      </w:pPr>
      <w:r w:rsidRPr="004F2C69">
        <w:t>Inspector-</w:t>
      </w:r>
      <w:r w:rsidR="00541B0D">
        <w:t>g</w:t>
      </w:r>
      <w:r w:rsidRPr="004F2C69">
        <w:t>eneral’s assessment</w:t>
      </w:r>
    </w:p>
    <w:p w14:paraId="502880B8" w14:textId="058B0402" w:rsidR="008E3B98" w:rsidRPr="008E3B98" w:rsidRDefault="00392BA8" w:rsidP="008E3B98">
      <w:r>
        <w:t xml:space="preserve">The department has made </w:t>
      </w:r>
      <w:r w:rsidR="00282921">
        <w:t xml:space="preserve">good </w:t>
      </w:r>
      <w:r>
        <w:t xml:space="preserve">progress in implementing </w:t>
      </w:r>
      <w:r w:rsidR="008A5824">
        <w:t>Moss Review</w:t>
      </w:r>
      <w:r>
        <w:t xml:space="preserve"> recommendation</w:t>
      </w:r>
      <w:r w:rsidR="008A5824">
        <w:t xml:space="preserve"> 11</w:t>
      </w:r>
      <w:r>
        <w:t xml:space="preserve">. </w:t>
      </w:r>
      <w:r w:rsidR="003F682A" w:rsidRPr="003D1068">
        <w:t>Th</w:t>
      </w:r>
      <w:r>
        <w:t>is work</w:t>
      </w:r>
      <w:r w:rsidR="003F682A">
        <w:t xml:space="preserve"> also </w:t>
      </w:r>
      <w:r w:rsidR="001F4C00">
        <w:t>contribute</w:t>
      </w:r>
      <w:r>
        <w:t>s</w:t>
      </w:r>
      <w:r w:rsidR="001F4C00">
        <w:t xml:space="preserve"> to meeting</w:t>
      </w:r>
      <w:r w:rsidR="003F682A">
        <w:t xml:space="preserve"> the </w:t>
      </w:r>
      <w:r w:rsidR="000E5D3A">
        <w:t>i</w:t>
      </w:r>
      <w:r w:rsidR="001F4C00">
        <w:t>nspector-</w:t>
      </w:r>
      <w:r w:rsidR="000E5D3A">
        <w:t>g</w:t>
      </w:r>
      <w:r w:rsidR="001F4C00">
        <w:t>eneral’s</w:t>
      </w:r>
      <w:r w:rsidR="00510E8D">
        <w:t xml:space="preserve"> </w:t>
      </w:r>
      <w:r w:rsidR="00584D20">
        <w:t>recommendations</w:t>
      </w:r>
      <w:r w:rsidR="00367DF9">
        <w:t xml:space="preserve"> (</w:t>
      </w:r>
      <w:r w:rsidR="00785611">
        <w:t xml:space="preserve">Inspector-General </w:t>
      </w:r>
      <w:r w:rsidR="00367DF9">
        <w:t>2020)</w:t>
      </w:r>
      <w:r w:rsidR="003F682A">
        <w:t xml:space="preserve"> </w:t>
      </w:r>
      <w:r w:rsidR="001F4C00">
        <w:t>that relate</w:t>
      </w:r>
      <w:r w:rsidR="003F682A">
        <w:t xml:space="preserve"> to </w:t>
      </w:r>
      <w:r w:rsidR="00495F54">
        <w:t>developing a data quality and management strategy</w:t>
      </w:r>
      <w:r w:rsidR="001F4C00">
        <w:t>,</w:t>
      </w:r>
      <w:r w:rsidR="00495F54">
        <w:t xml:space="preserve"> and improv</w:t>
      </w:r>
      <w:r w:rsidR="008A5824">
        <w:t>ing</w:t>
      </w:r>
      <w:r w:rsidR="00495F54">
        <w:t xml:space="preserve"> </w:t>
      </w:r>
      <w:r w:rsidR="006D4C07">
        <w:t>i</w:t>
      </w:r>
      <w:r w:rsidR="001F4C00">
        <w:t xml:space="preserve">ndependent </w:t>
      </w:r>
      <w:r w:rsidR="006D4C07">
        <w:t>o</w:t>
      </w:r>
      <w:r w:rsidR="001F4C00">
        <w:t>bserver</w:t>
      </w:r>
      <w:r w:rsidR="00495F54">
        <w:t xml:space="preserve"> and A</w:t>
      </w:r>
      <w:r w:rsidR="001F4C00">
        <w:t xml:space="preserve">ustralian </w:t>
      </w:r>
      <w:r w:rsidR="00CD0A05">
        <w:t>g</w:t>
      </w:r>
      <w:r w:rsidR="007F14F2">
        <w:t xml:space="preserve">overnment </w:t>
      </w:r>
      <w:r w:rsidR="00CD0A05">
        <w:t>a</w:t>
      </w:r>
      <w:r w:rsidR="006D4C07">
        <w:t xml:space="preserve">ccredited </w:t>
      </w:r>
      <w:r w:rsidR="00CD0A05">
        <w:t>v</w:t>
      </w:r>
      <w:r w:rsidR="006D4C07">
        <w:t>eterinarian</w:t>
      </w:r>
      <w:r w:rsidR="00495F54">
        <w:t xml:space="preserve"> reporting.</w:t>
      </w:r>
      <w:r w:rsidR="00692BC1">
        <w:t xml:space="preserve"> The </w:t>
      </w:r>
      <w:r w:rsidR="00602C7E">
        <w:t>Australian G</w:t>
      </w:r>
      <w:r w:rsidR="00692BC1">
        <w:t xml:space="preserve">overnment’s </w:t>
      </w:r>
      <w:r w:rsidR="005E000E">
        <w:t>2020–21</w:t>
      </w:r>
      <w:r w:rsidR="00692BC1">
        <w:t xml:space="preserve"> budget announcement</w:t>
      </w:r>
      <w:r w:rsidR="00602C7E">
        <w:t xml:space="preserve"> </w:t>
      </w:r>
      <w:r w:rsidR="00EC7B72">
        <w:t>‘</w:t>
      </w:r>
      <w:r w:rsidR="00602C7E" w:rsidRPr="00602C7E">
        <w:t>The Busting Congestion for Agricultural Exporters package</w:t>
      </w:r>
      <w:r w:rsidR="00EC7B72">
        <w:t>’</w:t>
      </w:r>
      <w:r w:rsidR="00602C7E" w:rsidRPr="00602C7E">
        <w:t>, worth over $328.4 million over four years</w:t>
      </w:r>
      <w:r w:rsidR="00B965B8">
        <w:t xml:space="preserve"> (</w:t>
      </w:r>
      <w:r w:rsidR="00541B0D">
        <w:t>Media release</w:t>
      </w:r>
      <w:r w:rsidR="00B965B8">
        <w:t xml:space="preserve"> 2020)</w:t>
      </w:r>
      <w:r w:rsidR="00692BC1">
        <w:t xml:space="preserve"> provides an opportunity for the department to</w:t>
      </w:r>
      <w:r w:rsidR="00347D9B">
        <w:t xml:space="preserve"> further improve the effectiveness of reporting while also reducing the regulatory burden.</w:t>
      </w:r>
    </w:p>
    <w:p w14:paraId="3C0AC8BE" w14:textId="146A071B" w:rsidR="00AD7E81" w:rsidRDefault="005E000E" w:rsidP="00695174">
      <w:pPr>
        <w:pStyle w:val="BoxHeading"/>
        <w:keepNext/>
      </w:pPr>
      <w:r>
        <w:lastRenderedPageBreak/>
        <w:t xml:space="preserve">Moss </w:t>
      </w:r>
      <w:r w:rsidR="00103977">
        <w:t xml:space="preserve">Review </w:t>
      </w:r>
      <w:r>
        <w:t>r</w:t>
      </w:r>
      <w:r w:rsidR="008E3B98" w:rsidRPr="008E3B98">
        <w:t>ecommendation 13</w:t>
      </w:r>
    </w:p>
    <w:p w14:paraId="3CDF003D" w14:textId="3CD7E744" w:rsidR="008E3B98" w:rsidRDefault="008E3B98" w:rsidP="00695174">
      <w:pPr>
        <w:pStyle w:val="BoxText"/>
        <w:keepNext/>
      </w:pPr>
      <w:r w:rsidRPr="008E3B98">
        <w:t>That the roles and responsibilities within the department performed by</w:t>
      </w:r>
      <w:r w:rsidR="008A5824">
        <w:t xml:space="preserve"> the </w:t>
      </w:r>
      <w:r w:rsidRPr="008E3B98">
        <w:t>Export</w:t>
      </w:r>
      <w:r w:rsidR="00141F24">
        <w:t>s</w:t>
      </w:r>
      <w:r w:rsidRPr="008E3B98">
        <w:t xml:space="preserve"> Division, Compliance Division and Biosecurity Operations Division be clarified to develop </w:t>
      </w:r>
      <w:r w:rsidR="003D5404" w:rsidRPr="008E3B98">
        <w:t>c</w:t>
      </w:r>
      <w:r w:rsidR="003D5404">
        <w:t>o</w:t>
      </w:r>
      <w:r w:rsidR="003D5404" w:rsidRPr="008E3B98">
        <w:t>mmon</w:t>
      </w:r>
      <w:r w:rsidRPr="008E3B98">
        <w:t xml:space="preserve"> sense of purpose, identity and alignment in relation to the regulation of live animal exports.</w:t>
      </w:r>
    </w:p>
    <w:p w14:paraId="6F0B4FFA" w14:textId="74945619" w:rsidR="00AD7E81" w:rsidRPr="00BE5C8D" w:rsidRDefault="00AD7E81" w:rsidP="00695174">
      <w:pPr>
        <w:pStyle w:val="BoxText"/>
        <w:keepNext/>
        <w:rPr>
          <w:b/>
          <w:bCs/>
        </w:rPr>
      </w:pPr>
      <w:r w:rsidRPr="008E3402">
        <w:rPr>
          <w:rStyle w:val="Strong"/>
        </w:rPr>
        <w:t>Implementation status</w:t>
      </w:r>
    </w:p>
    <w:p w14:paraId="5219057E" w14:textId="3846A861" w:rsidR="008E3B98" w:rsidRPr="00BE5C8D" w:rsidRDefault="008E3B98" w:rsidP="00695174">
      <w:pPr>
        <w:pStyle w:val="BoxTextBullet"/>
        <w:keepNext/>
      </w:pPr>
      <w:r w:rsidRPr="00BE5C8D">
        <w:t xml:space="preserve">Department’s </w:t>
      </w:r>
      <w:r w:rsidR="00AD7E81">
        <w:t>assessment</w:t>
      </w:r>
      <w:r w:rsidRPr="00BE5C8D">
        <w:t>: Ongoing</w:t>
      </w:r>
      <w:r w:rsidR="00C1688A">
        <w:t xml:space="preserve"> </w:t>
      </w:r>
    </w:p>
    <w:p w14:paraId="086213C6" w14:textId="34BE20E1" w:rsidR="00AD7E81" w:rsidRPr="00BE5C8D" w:rsidRDefault="00AD7E81" w:rsidP="00695174">
      <w:pPr>
        <w:pStyle w:val="BoxTextBullet"/>
        <w:keepNext/>
      </w:pPr>
      <w:r w:rsidRPr="00BE5C8D">
        <w:t>Inspector-</w:t>
      </w:r>
      <w:r w:rsidR="00541B0D">
        <w:t>g</w:t>
      </w:r>
      <w:r w:rsidRPr="00BE5C8D">
        <w:t>eneral</w:t>
      </w:r>
      <w:r w:rsidR="008A5824">
        <w:t>’s</w:t>
      </w:r>
      <w:r w:rsidRPr="00BE5C8D">
        <w:t xml:space="preserve"> assessment: </w:t>
      </w:r>
      <w:r w:rsidR="004C5611">
        <w:t>In progress</w:t>
      </w:r>
    </w:p>
    <w:p w14:paraId="46BCFADC" w14:textId="77777777" w:rsidR="004F7201" w:rsidRDefault="004F7201" w:rsidP="006F553B">
      <w:pPr>
        <w:pStyle w:val="Heading4"/>
      </w:pPr>
      <w:r>
        <w:t>Department’s response: Support</w:t>
      </w:r>
    </w:p>
    <w:p w14:paraId="24F48ABE" w14:textId="5AF0AD80" w:rsidR="008E3B98" w:rsidRDefault="008E3B98" w:rsidP="008E3B98">
      <w:r w:rsidRPr="008E3B98">
        <w:t xml:space="preserve">Different sections of the department regularly meet to discuss these issues to ensure ongoing alignment, in particular through </w:t>
      </w:r>
      <w:r w:rsidR="00BE5C8D">
        <w:t>the</w:t>
      </w:r>
      <w:r w:rsidR="00BE5C8D" w:rsidRPr="008A5824">
        <w:t xml:space="preserve"> </w:t>
      </w:r>
      <w:r w:rsidR="00BE5C8D" w:rsidRPr="004A073C">
        <w:t>Management</w:t>
      </w:r>
      <w:r w:rsidRPr="004A073C">
        <w:t xml:space="preserve"> Review Committee.</w:t>
      </w:r>
      <w:r w:rsidRPr="008E3B98">
        <w:t xml:space="preserve"> </w:t>
      </w:r>
      <w:r w:rsidR="00BE5C8D">
        <w:t>They</w:t>
      </w:r>
      <w:r w:rsidR="00BE5C8D" w:rsidRPr="008E3B98">
        <w:t xml:space="preserve"> </w:t>
      </w:r>
      <w:r w:rsidRPr="008E3B98">
        <w:t xml:space="preserve">also have very clear ongoing interaction at all levels to ensure that </w:t>
      </w:r>
      <w:r w:rsidR="00BE5C8D">
        <w:t xml:space="preserve">they </w:t>
      </w:r>
      <w:r w:rsidRPr="008E3B98">
        <w:t>remain aligned.</w:t>
      </w:r>
    </w:p>
    <w:p w14:paraId="6706F267" w14:textId="2CA08C6B" w:rsidR="001515D3" w:rsidRDefault="001515D3" w:rsidP="001515D3">
      <w:r>
        <w:t xml:space="preserve">Representatives from </w:t>
      </w:r>
      <w:r w:rsidR="00766845" w:rsidRPr="008A5824">
        <w:t xml:space="preserve">the </w:t>
      </w:r>
      <w:r w:rsidRPr="008A5824">
        <w:t>V</w:t>
      </w:r>
      <w:r w:rsidR="00766845" w:rsidRPr="008A5824">
        <w:t xml:space="preserve">eterinary </w:t>
      </w:r>
      <w:r w:rsidR="00AE6592">
        <w:t xml:space="preserve">and </w:t>
      </w:r>
      <w:r w:rsidRPr="008A5824">
        <w:t>E</w:t>
      </w:r>
      <w:r w:rsidR="00766845" w:rsidRPr="008A5824">
        <w:t xml:space="preserve">xport </w:t>
      </w:r>
      <w:r w:rsidRPr="008A5824">
        <w:t>M</w:t>
      </w:r>
      <w:r w:rsidR="00766845" w:rsidRPr="008A5824">
        <w:t xml:space="preserve">eat </w:t>
      </w:r>
      <w:r w:rsidR="00AE6592">
        <w:t>Branch</w:t>
      </w:r>
      <w:r w:rsidR="00510E8D">
        <w:t>,</w:t>
      </w:r>
      <w:r>
        <w:t xml:space="preserve"> </w:t>
      </w:r>
      <w:r w:rsidR="0096700A">
        <w:t xml:space="preserve">Live Animal Export Branch, Animal Welfare Branch </w:t>
      </w:r>
      <w:r>
        <w:t xml:space="preserve">and </w:t>
      </w:r>
      <w:r w:rsidR="00AE6592">
        <w:t>i</w:t>
      </w:r>
      <w:r w:rsidR="00766845">
        <w:t xml:space="preserve">ndependent </w:t>
      </w:r>
      <w:r w:rsidR="00AE6592">
        <w:t>o</w:t>
      </w:r>
      <w:r w:rsidR="00766845">
        <w:t>bserver</w:t>
      </w:r>
      <w:r w:rsidR="008A5824">
        <w:t xml:space="preserve"> teams</w:t>
      </w:r>
      <w:r>
        <w:t xml:space="preserve"> participate in monthly meeting</w:t>
      </w:r>
      <w:r w:rsidR="0096700A">
        <w:t>s</w:t>
      </w:r>
      <w:r>
        <w:t>.</w:t>
      </w:r>
    </w:p>
    <w:p w14:paraId="748E55E8" w14:textId="0F6011E8" w:rsidR="001515D3" w:rsidRDefault="001515D3" w:rsidP="001515D3">
      <w:r>
        <w:t xml:space="preserve">In 2019, </w:t>
      </w:r>
      <w:r w:rsidR="008A5824">
        <w:t xml:space="preserve">the </w:t>
      </w:r>
      <w:r>
        <w:t>L</w:t>
      </w:r>
      <w:r w:rsidR="00510E8D">
        <w:t xml:space="preserve">ive </w:t>
      </w:r>
      <w:r>
        <w:t>A</w:t>
      </w:r>
      <w:r w:rsidR="00510E8D">
        <w:t xml:space="preserve">nimal </w:t>
      </w:r>
      <w:r>
        <w:t>E</w:t>
      </w:r>
      <w:r w:rsidR="00510E8D">
        <w:t xml:space="preserve">xport </w:t>
      </w:r>
      <w:r>
        <w:t>B</w:t>
      </w:r>
      <w:r w:rsidR="00510E8D">
        <w:t>ranch</w:t>
      </w:r>
      <w:r>
        <w:t xml:space="preserve"> and V</w:t>
      </w:r>
      <w:r w:rsidR="00510E8D">
        <w:t xml:space="preserve">eterinary </w:t>
      </w:r>
      <w:r w:rsidR="005F5BA8">
        <w:t xml:space="preserve">and </w:t>
      </w:r>
      <w:r>
        <w:t>E</w:t>
      </w:r>
      <w:r w:rsidR="00510E8D">
        <w:t xml:space="preserve">xport </w:t>
      </w:r>
      <w:r>
        <w:t>M</w:t>
      </w:r>
      <w:r w:rsidR="00510E8D">
        <w:t xml:space="preserve">eat </w:t>
      </w:r>
      <w:r w:rsidR="005F5BA8">
        <w:t>Branch</w:t>
      </w:r>
      <w:r>
        <w:t>:</w:t>
      </w:r>
    </w:p>
    <w:p w14:paraId="13829A8C" w14:textId="59EE794E" w:rsidR="001515D3" w:rsidRDefault="001515D3" w:rsidP="00E46B5D">
      <w:pPr>
        <w:pStyle w:val="ListBullet"/>
      </w:pPr>
      <w:r>
        <w:t>reviewed the protocol</w:t>
      </w:r>
      <w:r w:rsidR="008A5824">
        <w:t>-</w:t>
      </w:r>
      <w:r>
        <w:t xml:space="preserve"> and permit</w:t>
      </w:r>
      <w:r w:rsidR="008A5824">
        <w:t>-</w:t>
      </w:r>
      <w:r>
        <w:t>based trade process to clarif</w:t>
      </w:r>
      <w:r w:rsidR="00E46B5D">
        <w:t>y</w:t>
      </w:r>
      <w:r>
        <w:t xml:space="preserve"> roles and responsibilities</w:t>
      </w:r>
    </w:p>
    <w:p w14:paraId="146FAAAE" w14:textId="30FFA1C9" w:rsidR="001515D3" w:rsidRDefault="001515D3" w:rsidP="00E46B5D">
      <w:pPr>
        <w:pStyle w:val="ListBullet"/>
      </w:pPr>
      <w:r>
        <w:t xml:space="preserve">developed a </w:t>
      </w:r>
      <w:r w:rsidR="005E000E">
        <w:t>decision-mak</w:t>
      </w:r>
      <w:r>
        <w:t>ing template for granting an Export Permit and Issuing a Health Certificate</w:t>
      </w:r>
    </w:p>
    <w:p w14:paraId="1B9A4140" w14:textId="71F16052" w:rsidR="001515D3" w:rsidRDefault="001515D3" w:rsidP="00E46B5D">
      <w:pPr>
        <w:pStyle w:val="ListBullet"/>
      </w:pPr>
      <w:r>
        <w:t>reviewed and updated the charging record template</w:t>
      </w:r>
      <w:r w:rsidR="00EC230B">
        <w:t>.</w:t>
      </w:r>
    </w:p>
    <w:p w14:paraId="4632F826" w14:textId="1703CF31" w:rsidR="0020237F" w:rsidRPr="004E21B3" w:rsidRDefault="0020237F" w:rsidP="0077140B">
      <w:r w:rsidRPr="006213C1">
        <w:t>In January 2020,</w:t>
      </w:r>
      <w:r w:rsidR="00510E8D" w:rsidRPr="00510E8D">
        <w:t xml:space="preserve"> </w:t>
      </w:r>
      <w:r w:rsidR="00510E8D">
        <w:t xml:space="preserve">the Veterinary </w:t>
      </w:r>
      <w:r w:rsidR="00316313">
        <w:t xml:space="preserve">and </w:t>
      </w:r>
      <w:r w:rsidR="00510E8D">
        <w:t xml:space="preserve">Export Meat </w:t>
      </w:r>
      <w:r w:rsidR="00316313">
        <w:t>Branch</w:t>
      </w:r>
      <w:r w:rsidR="00510E8D">
        <w:t>,</w:t>
      </w:r>
      <w:r w:rsidRPr="006213C1">
        <w:t xml:space="preserve"> Audit and Assurance Group and Live Animal Export Branch held a workshop to clarify roles and responsibilities </w:t>
      </w:r>
      <w:r w:rsidR="00EC230B">
        <w:t>in relation to</w:t>
      </w:r>
      <w:r w:rsidRPr="006213C1">
        <w:t xml:space="preserve"> issues that can be addressed at audit and those that need to be addressed by the Regional Veterinary Officer in real time. Improving communication between areas was also addressed.</w:t>
      </w:r>
    </w:p>
    <w:p w14:paraId="2ED8B12F" w14:textId="212669A6" w:rsidR="004C5611" w:rsidRDefault="004C5611" w:rsidP="006F553B">
      <w:pPr>
        <w:pStyle w:val="Heading4"/>
      </w:pPr>
      <w:r w:rsidRPr="00AD41FB">
        <w:t>Inspector-</w:t>
      </w:r>
      <w:r w:rsidR="00541B0D">
        <w:t>g</w:t>
      </w:r>
      <w:r w:rsidRPr="00AD41FB">
        <w:t>eneral</w:t>
      </w:r>
      <w:r w:rsidR="008515DB" w:rsidRPr="00AD41FB">
        <w:t>’s</w:t>
      </w:r>
      <w:r w:rsidRPr="00AD41FB">
        <w:t xml:space="preserve"> </w:t>
      </w:r>
      <w:r w:rsidR="00A21B94" w:rsidRPr="00AD41FB">
        <w:t>a</w:t>
      </w:r>
      <w:r w:rsidRPr="00AD41FB">
        <w:t>s</w:t>
      </w:r>
      <w:r w:rsidR="00A21B94" w:rsidRPr="00AD41FB">
        <w:t>sessment</w:t>
      </w:r>
    </w:p>
    <w:p w14:paraId="00C048C2" w14:textId="7E1E116B" w:rsidR="004E21B3" w:rsidRDefault="004E21B3" w:rsidP="008E3B98">
      <w:r>
        <w:t xml:space="preserve">The </w:t>
      </w:r>
      <w:r w:rsidR="000E5D3A">
        <w:t>i</w:t>
      </w:r>
      <w:r w:rsidR="004F7201">
        <w:t>nspector-</w:t>
      </w:r>
      <w:r w:rsidR="000E5D3A">
        <w:t>g</w:t>
      </w:r>
      <w:r w:rsidR="004F7201">
        <w:t>eneral</w:t>
      </w:r>
      <w:r>
        <w:t xml:space="preserve"> notes </w:t>
      </w:r>
      <w:r w:rsidR="00EC230B">
        <w:t xml:space="preserve">that </w:t>
      </w:r>
      <w:r>
        <w:t>the</w:t>
      </w:r>
      <w:r w:rsidR="00EC230B">
        <w:t xml:space="preserve"> department has</w:t>
      </w:r>
      <w:r>
        <w:t xml:space="preserve"> </w:t>
      </w:r>
      <w:r w:rsidR="00EC230B">
        <w:t>clarified</w:t>
      </w:r>
      <w:r>
        <w:t xml:space="preserve"> roles</w:t>
      </w:r>
      <w:r w:rsidR="00826110">
        <w:t>,</w:t>
      </w:r>
      <w:r>
        <w:t xml:space="preserve"> responsibilities</w:t>
      </w:r>
      <w:r w:rsidR="00510E8D">
        <w:t xml:space="preserve"> and procedures</w:t>
      </w:r>
      <w:r>
        <w:t xml:space="preserve">. However, </w:t>
      </w:r>
      <w:r w:rsidRPr="00743146">
        <w:t xml:space="preserve">recommendation </w:t>
      </w:r>
      <w:r w:rsidR="00321E2F">
        <w:t xml:space="preserve">13 </w:t>
      </w:r>
      <w:r w:rsidRPr="00743146">
        <w:t xml:space="preserve">needs to be </w:t>
      </w:r>
      <w:r>
        <w:t>viewed</w:t>
      </w:r>
      <w:r w:rsidRPr="00743146">
        <w:t xml:space="preserve"> in the context of other </w:t>
      </w:r>
      <w:r w:rsidR="006932ED">
        <w:t>Moss Review</w:t>
      </w:r>
      <w:r w:rsidRPr="00743146">
        <w:t xml:space="preserve"> recommendations aimed at improving the department’s regulatory practice.</w:t>
      </w:r>
      <w:r w:rsidR="00392BA8">
        <w:t xml:space="preserve"> The key outcome in this recommendation is to ‘</w:t>
      </w:r>
      <w:r w:rsidR="00EC230B">
        <w:t>…</w:t>
      </w:r>
      <w:r w:rsidR="00392BA8">
        <w:t xml:space="preserve"> </w:t>
      </w:r>
      <w:r w:rsidR="00392BA8" w:rsidRPr="008E3B98">
        <w:t xml:space="preserve">develop </w:t>
      </w:r>
      <w:r w:rsidR="006213C1">
        <w:t>a c</w:t>
      </w:r>
      <w:r w:rsidR="00392BA8" w:rsidRPr="008E3B98">
        <w:t>ommon sense of purpose, identity and alignment in relation to the regulation of live animal exports</w:t>
      </w:r>
      <w:r w:rsidR="00392BA8">
        <w:t>’</w:t>
      </w:r>
      <w:r w:rsidR="0004649D">
        <w:t xml:space="preserve"> </w:t>
      </w:r>
      <w:r w:rsidR="0004649D" w:rsidRPr="001D71C2">
        <w:t>(Moss 2018)</w:t>
      </w:r>
      <w:r w:rsidR="00A65A21">
        <w:t xml:space="preserve"> (see </w:t>
      </w:r>
      <w:hyperlink w:anchor="_Toc27476183" w:history="1">
        <w:r w:rsidR="00A65A21" w:rsidRPr="00A65A21">
          <w:rPr>
            <w:rStyle w:val="Hyperlink"/>
          </w:rPr>
          <w:t>2 Improved regulatory practice</w:t>
        </w:r>
      </w:hyperlink>
      <w:r w:rsidR="00A65A21">
        <w:t>)</w:t>
      </w:r>
      <w:r w:rsidR="00392BA8" w:rsidRPr="001D71C2">
        <w:t>.</w:t>
      </w:r>
    </w:p>
    <w:p w14:paraId="4A1E1AED" w14:textId="358E8E41" w:rsidR="00AD7E81" w:rsidRDefault="005E000E" w:rsidP="00171170">
      <w:pPr>
        <w:pStyle w:val="BoxHeading"/>
        <w:keepNext/>
      </w:pPr>
      <w:r>
        <w:lastRenderedPageBreak/>
        <w:t xml:space="preserve">Moss </w:t>
      </w:r>
      <w:r w:rsidR="00103977">
        <w:t xml:space="preserve">Review </w:t>
      </w:r>
      <w:r>
        <w:t>r</w:t>
      </w:r>
      <w:r w:rsidR="008E3B98" w:rsidRPr="008E3B98">
        <w:t>ecommendation 19</w:t>
      </w:r>
    </w:p>
    <w:p w14:paraId="3A340A8F" w14:textId="2825B75E" w:rsidR="008E3B98" w:rsidRDefault="008E3B98" w:rsidP="00171170">
      <w:pPr>
        <w:pStyle w:val="BoxText"/>
        <w:keepNext/>
      </w:pPr>
      <w:r w:rsidRPr="008E3B98">
        <w:t xml:space="preserve">That the department require Australian Government </w:t>
      </w:r>
      <w:r w:rsidR="00007BD7">
        <w:t>Accredited Veterinarian</w:t>
      </w:r>
      <w:r w:rsidR="00007BD7" w:rsidRPr="008E3B98">
        <w:t xml:space="preserve">s </w:t>
      </w:r>
      <w:r w:rsidRPr="008E3B98">
        <w:t>and authorised officers to make a declaration each year of any personal conflict of interest.</w:t>
      </w:r>
    </w:p>
    <w:p w14:paraId="3C85425F" w14:textId="1D6D9FEC" w:rsidR="00AD7E81" w:rsidRPr="0049262B" w:rsidRDefault="00AD7E81" w:rsidP="00171170">
      <w:pPr>
        <w:pStyle w:val="BoxText"/>
        <w:keepNext/>
        <w:rPr>
          <w:b/>
          <w:bCs/>
        </w:rPr>
      </w:pPr>
      <w:r w:rsidRPr="008E3402">
        <w:rPr>
          <w:rStyle w:val="Strong"/>
        </w:rPr>
        <w:t>Implementation status</w:t>
      </w:r>
    </w:p>
    <w:p w14:paraId="526F8099" w14:textId="643BC987" w:rsidR="00A0330C" w:rsidRDefault="008E3B98" w:rsidP="00171170">
      <w:pPr>
        <w:pStyle w:val="BoxTextBullet"/>
        <w:keepNext/>
      </w:pPr>
      <w:r w:rsidRPr="0049262B">
        <w:t xml:space="preserve">Department’s </w:t>
      </w:r>
      <w:r w:rsidR="00AD7E81" w:rsidRPr="0049262B">
        <w:t>assessment</w:t>
      </w:r>
      <w:r w:rsidRPr="0049262B">
        <w:t xml:space="preserve">: </w:t>
      </w:r>
      <w:r w:rsidR="00C1688A">
        <w:t xml:space="preserve">Ongoing </w:t>
      </w:r>
    </w:p>
    <w:p w14:paraId="33470A95" w14:textId="2D471BDA" w:rsidR="00AD7E81" w:rsidRPr="007A5762" w:rsidRDefault="00A0330C" w:rsidP="00171170">
      <w:pPr>
        <w:pStyle w:val="BoxTextBullet"/>
        <w:keepNext/>
      </w:pPr>
      <w:r>
        <w:t>Inspector</w:t>
      </w:r>
      <w:r w:rsidR="008A5824">
        <w:t>-</w:t>
      </w:r>
      <w:r w:rsidR="00541B0D">
        <w:t>g</w:t>
      </w:r>
      <w:r w:rsidR="008A5824">
        <w:t>eneral’s assessment:</w:t>
      </w:r>
      <w:r w:rsidR="00AD7E81" w:rsidRPr="0049262B">
        <w:t xml:space="preserve"> Implemented – </w:t>
      </w:r>
      <w:r w:rsidR="00BA06A4">
        <w:t>o</w:t>
      </w:r>
      <w:r w:rsidR="00AD7E81" w:rsidRPr="0049262B">
        <w:t>ngoing</w:t>
      </w:r>
    </w:p>
    <w:p w14:paraId="1148B0D8" w14:textId="77777777" w:rsidR="00775F9B" w:rsidRDefault="00775F9B" w:rsidP="006F553B">
      <w:pPr>
        <w:pStyle w:val="Heading4"/>
      </w:pPr>
      <w:r>
        <w:t>Department’s response: Support in principle</w:t>
      </w:r>
    </w:p>
    <w:p w14:paraId="07482760" w14:textId="5D4578C1" w:rsidR="008E3B98" w:rsidRPr="008E3B98" w:rsidRDefault="008E3B98" w:rsidP="008E3B98">
      <w:r w:rsidRPr="008E3B98">
        <w:t xml:space="preserve">In January 2019, the department placed conditions on all </w:t>
      </w:r>
      <w:r w:rsidR="0004649D" w:rsidRPr="008E3B98">
        <w:t xml:space="preserve">Australian </w:t>
      </w:r>
      <w:r w:rsidR="000D5C0F">
        <w:t>g</w:t>
      </w:r>
      <w:r w:rsidR="0004649D" w:rsidRPr="008E3B98">
        <w:t xml:space="preserve">overnment </w:t>
      </w:r>
      <w:r w:rsidR="00541B0D">
        <w:t>a</w:t>
      </w:r>
      <w:r w:rsidR="006D4C07">
        <w:t xml:space="preserve">ccredited </w:t>
      </w:r>
      <w:r w:rsidR="00541B0D">
        <w:t>v</w:t>
      </w:r>
      <w:r w:rsidR="006D4C07">
        <w:t>eterinarian</w:t>
      </w:r>
      <w:r w:rsidR="0004649D" w:rsidRPr="008E3B98">
        <w:t xml:space="preserve">s </w:t>
      </w:r>
      <w:r w:rsidR="0004649D">
        <w:t>(</w:t>
      </w:r>
      <w:r w:rsidRPr="008E3B98">
        <w:t>AAVs</w:t>
      </w:r>
      <w:r w:rsidR="0004649D">
        <w:t>)</w:t>
      </w:r>
      <w:r w:rsidRPr="008E3B98">
        <w:t xml:space="preserve"> that required them to provide the department with a statement of material interests. Rather than require AAVs to submit a statement each year, the conditions included a requirement to provide an updated statement of material interests within </w:t>
      </w:r>
      <w:r w:rsidR="0077134D" w:rsidRPr="008E3B98">
        <w:t>30</w:t>
      </w:r>
      <w:r w:rsidR="0077134D">
        <w:t> </w:t>
      </w:r>
      <w:r w:rsidRPr="008E3B98">
        <w:t>days of an AAV’s circumstance</w:t>
      </w:r>
      <w:r w:rsidR="0077134D">
        <w:t>s</w:t>
      </w:r>
      <w:r w:rsidRPr="008E3B98">
        <w:t xml:space="preserve"> changing.</w:t>
      </w:r>
      <w:r w:rsidR="000E0ACC">
        <w:t xml:space="preserve"> This has been incorporated into t</w:t>
      </w:r>
      <w:r w:rsidRPr="008E3B98">
        <w:t xml:space="preserve">he draft Animal Rule </w:t>
      </w:r>
      <w:r w:rsidR="000E0ACC">
        <w:t>to</w:t>
      </w:r>
      <w:r w:rsidRPr="008E3B98">
        <w:t xml:space="preserve"> require AAVs to provide a conflict of interest statement as part of the AAV application and renewal process.</w:t>
      </w:r>
    </w:p>
    <w:p w14:paraId="5C957F39" w14:textId="56B715B5" w:rsidR="008E3B98" w:rsidRDefault="00C43E9F" w:rsidP="008E3B98">
      <w:r>
        <w:t>All external a</w:t>
      </w:r>
      <w:r w:rsidR="008E3B98" w:rsidRPr="008E3B98">
        <w:t>pplicants for independent observer roles are required to submit a conflict of interest declaration as part of the selection process</w:t>
      </w:r>
      <w:r w:rsidR="0077134D">
        <w:t>. They must</w:t>
      </w:r>
      <w:r w:rsidR="008E3B98" w:rsidRPr="008E3B98">
        <w:t xml:space="preserve"> </w:t>
      </w:r>
      <w:r w:rsidR="0077134D">
        <w:t>also</w:t>
      </w:r>
      <w:r w:rsidR="008E3B98" w:rsidRPr="008E3B98">
        <w:t xml:space="preserve"> undergo an enhanced integrity checking process </w:t>
      </w:r>
      <w:r w:rsidR="0077134D">
        <w:t xml:space="preserve">that </w:t>
      </w:r>
      <w:r w:rsidR="008E3B98" w:rsidRPr="008E3B98">
        <w:t>includ</w:t>
      </w:r>
      <w:r w:rsidR="0077134D">
        <w:t>es</w:t>
      </w:r>
      <w:r w:rsidR="008E3B98" w:rsidRPr="008E3B98">
        <w:t xml:space="preserve"> open</w:t>
      </w:r>
      <w:r w:rsidR="00321E2F">
        <w:t>-</w:t>
      </w:r>
      <w:r w:rsidR="008E3B98" w:rsidRPr="008E3B98">
        <w:t xml:space="preserve">source validation by the </w:t>
      </w:r>
      <w:r w:rsidR="00D876D9">
        <w:t xml:space="preserve">department’s </w:t>
      </w:r>
      <w:r w:rsidR="008E3B98" w:rsidRPr="008E3B98">
        <w:t>Integrity Team.</w:t>
      </w:r>
    </w:p>
    <w:p w14:paraId="5DBA0ECF" w14:textId="59AF0AF0" w:rsidR="00C43E9F" w:rsidRPr="008E3B98" w:rsidRDefault="00C43E9F" w:rsidP="008E3B98">
      <w:r w:rsidRPr="00C43E9F">
        <w:t>Conflict of Interest declarations for internal applicants are managed through the department’s annual performance management cycle ‘Employee Commitment Declaration’. Enhanced integrity checking is not performed for internal applicants.</w:t>
      </w:r>
    </w:p>
    <w:p w14:paraId="6A51C09F" w14:textId="49B3E30E" w:rsidR="00AD7E81" w:rsidRDefault="00103977" w:rsidP="0049262B">
      <w:pPr>
        <w:pStyle w:val="BoxHeading"/>
        <w:keepNext/>
      </w:pPr>
      <w:r>
        <w:rPr>
          <w:bCs/>
        </w:rPr>
        <w:t>Moss Review r</w:t>
      </w:r>
      <w:r w:rsidR="008E3B98" w:rsidRPr="008E3B98">
        <w:rPr>
          <w:bCs/>
        </w:rPr>
        <w:t>ecommendation 20</w:t>
      </w:r>
    </w:p>
    <w:p w14:paraId="722D3D25" w14:textId="151A5C84" w:rsidR="008E3B98" w:rsidRDefault="008E3B98" w:rsidP="00AD7E81">
      <w:pPr>
        <w:pStyle w:val="BoxText"/>
      </w:pPr>
      <w:r w:rsidRPr="008E3B98">
        <w:t>That the department establish the position of Principal Regulatory Officer to enable its staff members engaged in the regulation of live animal exports to develop a culture of being professional regulators, an approach which would also apply to the department’s other regulatory activities.</w:t>
      </w:r>
    </w:p>
    <w:p w14:paraId="00450567" w14:textId="0791C727" w:rsidR="00AD7E81" w:rsidRPr="0049262B" w:rsidRDefault="00AD7E81" w:rsidP="0049262B">
      <w:pPr>
        <w:pStyle w:val="BoxText"/>
        <w:keepNext/>
        <w:rPr>
          <w:b/>
          <w:bCs/>
        </w:rPr>
      </w:pPr>
      <w:r w:rsidRPr="008E3402">
        <w:rPr>
          <w:rStyle w:val="Strong"/>
        </w:rPr>
        <w:t>Implementation status</w:t>
      </w:r>
    </w:p>
    <w:p w14:paraId="4C8FB7A4" w14:textId="630FE31A" w:rsidR="008E3B98" w:rsidRPr="007A5762" w:rsidRDefault="008E3B98" w:rsidP="0049262B">
      <w:pPr>
        <w:pStyle w:val="BoxTextBullet"/>
      </w:pPr>
      <w:r w:rsidRPr="0049262B">
        <w:t xml:space="preserve">Department’s </w:t>
      </w:r>
      <w:r w:rsidR="00AD7E81" w:rsidRPr="0049262B">
        <w:t>assessment</w:t>
      </w:r>
      <w:r w:rsidRPr="0049262B">
        <w:t>: Complete</w:t>
      </w:r>
    </w:p>
    <w:p w14:paraId="59EF4D8B" w14:textId="64D6B558" w:rsidR="00AD7E81" w:rsidRPr="007A5762" w:rsidRDefault="008A5824" w:rsidP="0049262B">
      <w:pPr>
        <w:pStyle w:val="BoxTextBullet"/>
      </w:pPr>
      <w:r>
        <w:t>Inspector-</w:t>
      </w:r>
      <w:r w:rsidR="004B7E80">
        <w:t>g</w:t>
      </w:r>
      <w:r>
        <w:t>eneral’s assessment:</w:t>
      </w:r>
      <w:r w:rsidR="00AD7E81" w:rsidRPr="0049262B">
        <w:t xml:space="preserve"> Implemented – </w:t>
      </w:r>
      <w:r w:rsidR="00BA06A4">
        <w:t>o</w:t>
      </w:r>
      <w:r w:rsidR="00AD7E81" w:rsidRPr="0049262B">
        <w:t>ngoing</w:t>
      </w:r>
    </w:p>
    <w:p w14:paraId="4740BD3C" w14:textId="72D7024E" w:rsidR="00775F9B" w:rsidRDefault="00775F9B" w:rsidP="006F553B">
      <w:pPr>
        <w:pStyle w:val="Heading4"/>
      </w:pPr>
      <w:r>
        <w:t>Department’s response: Support</w:t>
      </w:r>
    </w:p>
    <w:p w14:paraId="4084EA84" w14:textId="19A89133" w:rsidR="008E3B98" w:rsidRPr="008E3B98" w:rsidRDefault="008E3B98" w:rsidP="008E3B98">
      <w:r w:rsidRPr="008E3B98">
        <w:t xml:space="preserve">The department has developed an ongoing culture of discussion and </w:t>
      </w:r>
      <w:r w:rsidR="00E21426">
        <w:t xml:space="preserve">open </w:t>
      </w:r>
      <w:r w:rsidRPr="008E3B98">
        <w:t>engagement on regulatory issue</w:t>
      </w:r>
      <w:r w:rsidR="00E21426">
        <w:t>s</w:t>
      </w:r>
      <w:r w:rsidRPr="008E3B98">
        <w:t xml:space="preserve"> with</w:t>
      </w:r>
      <w:r w:rsidR="00E21426">
        <w:t xml:space="preserve"> their</w:t>
      </w:r>
      <w:r w:rsidRPr="008E3B98">
        <w:t xml:space="preserve"> staff. For example, following the decision on exemption applications for </w:t>
      </w:r>
      <w:r w:rsidR="00321E2F">
        <w:t>n</w:t>
      </w:r>
      <w:r w:rsidRPr="008E3B98">
        <w:t>orther</w:t>
      </w:r>
      <w:r w:rsidR="002D1087">
        <w:t>n</w:t>
      </w:r>
      <w:r w:rsidRPr="008E3B98">
        <w:t xml:space="preserve"> </w:t>
      </w:r>
      <w:r w:rsidR="00894711">
        <w:t>s</w:t>
      </w:r>
      <w:r w:rsidRPr="008E3B98">
        <w:t xml:space="preserve">ummer sheep exports, the Animal Welfare Branch and Live Animal Export Branch came together with </w:t>
      </w:r>
      <w:r w:rsidR="005C7328">
        <w:t>the s</w:t>
      </w:r>
      <w:r w:rsidR="0004649D">
        <w:t xml:space="preserve">enior </w:t>
      </w:r>
      <w:r w:rsidR="005C7328">
        <w:t>e</w:t>
      </w:r>
      <w:r w:rsidR="0004649D">
        <w:t>xecutive</w:t>
      </w:r>
      <w:r w:rsidRPr="008E3B98">
        <w:t>, including the decision-maker</w:t>
      </w:r>
      <w:r w:rsidR="00894711">
        <w:t>. They</w:t>
      </w:r>
      <w:r w:rsidRPr="008E3B98">
        <w:t xml:space="preserve"> discuss</w:t>
      </w:r>
      <w:r w:rsidR="00894711">
        <w:t>ed</w:t>
      </w:r>
      <w:r w:rsidRPr="008E3B98">
        <w:t xml:space="preserve"> </w:t>
      </w:r>
      <w:r w:rsidR="00654C64">
        <w:t>how the</w:t>
      </w:r>
      <w:r w:rsidRPr="008E3B98">
        <w:t xml:space="preserve"> decision</w:t>
      </w:r>
      <w:r w:rsidR="00654C64">
        <w:t xml:space="preserve"> was </w:t>
      </w:r>
      <w:r w:rsidR="00E21426">
        <w:t>made,</w:t>
      </w:r>
      <w:r w:rsidRPr="008E3B98">
        <w:t xml:space="preserve"> as well as principles and approaches to administrative decision-making. Staff at all levels were encouraged to (and did) ask questions about process, issues and outcomes. This kind of open engagement is </w:t>
      </w:r>
      <w:r w:rsidR="00321E2F">
        <w:t>central to</w:t>
      </w:r>
      <w:r w:rsidRPr="008E3B98">
        <w:t xml:space="preserve"> the culture </w:t>
      </w:r>
      <w:r w:rsidR="00321E2F">
        <w:t>of</w:t>
      </w:r>
      <w:r w:rsidRPr="008E3B98">
        <w:t xml:space="preserve"> the </w:t>
      </w:r>
      <w:r w:rsidR="00DD277D">
        <w:t xml:space="preserve">Live Animal </w:t>
      </w:r>
      <w:r w:rsidR="002D1087">
        <w:t>Export Branch</w:t>
      </w:r>
      <w:r w:rsidRPr="008E3B98">
        <w:t>. Other work</w:t>
      </w:r>
      <w:r w:rsidR="00DD277D">
        <w:t xml:space="preserve"> underway</w:t>
      </w:r>
      <w:r w:rsidRPr="008E3B98">
        <w:t xml:space="preserve"> includes:</w:t>
      </w:r>
    </w:p>
    <w:p w14:paraId="743A430D" w14:textId="534F965A" w:rsidR="000975F5" w:rsidRPr="002E3EBC" w:rsidRDefault="008E3B98" w:rsidP="008630B3">
      <w:pPr>
        <w:pStyle w:val="ListBullet"/>
      </w:pPr>
      <w:r w:rsidRPr="008630B3">
        <w:t xml:space="preserve">encouraging participation in department work around </w:t>
      </w:r>
      <w:r w:rsidRPr="002E3EBC">
        <w:t xml:space="preserve">the </w:t>
      </w:r>
      <w:r w:rsidR="000F5227" w:rsidRPr="002E3EBC">
        <w:t>r</w:t>
      </w:r>
      <w:r w:rsidRPr="002E3EBC">
        <w:t>egulatory</w:t>
      </w:r>
      <w:r w:rsidR="00564A70" w:rsidRPr="002E3EBC">
        <w:t xml:space="preserve"> </w:t>
      </w:r>
      <w:r w:rsidR="000F5227" w:rsidRPr="002E3EBC">
        <w:t>p</w:t>
      </w:r>
      <w:r w:rsidR="00564A70" w:rsidRPr="002E3EBC">
        <w:t>ractice</w:t>
      </w:r>
      <w:r w:rsidRPr="002E3EBC">
        <w:t xml:space="preserve"> </w:t>
      </w:r>
      <w:r w:rsidR="000F5227" w:rsidRPr="002E3EBC">
        <w:t>f</w:t>
      </w:r>
      <w:r w:rsidRPr="002E3EBC">
        <w:t>ramework</w:t>
      </w:r>
    </w:p>
    <w:p w14:paraId="2C4E9CD3" w14:textId="7E6D60EE" w:rsidR="008E3B98" w:rsidRPr="008630B3" w:rsidRDefault="00894711" w:rsidP="008630B3">
      <w:pPr>
        <w:pStyle w:val="ListBullet"/>
      </w:pPr>
      <w:r>
        <w:lastRenderedPageBreak/>
        <w:t>holding informal meetings to</w:t>
      </w:r>
      <w:r w:rsidR="008E3B98" w:rsidRPr="008630B3">
        <w:t xml:space="preserve"> discuss a range of issues</w:t>
      </w:r>
      <w:r>
        <w:t>,</w:t>
      </w:r>
      <w:r w:rsidR="008E3B98" w:rsidRPr="008630B3">
        <w:t xml:space="preserve"> including F</w:t>
      </w:r>
      <w:r w:rsidR="00D96D26">
        <w:t>reedom of Information</w:t>
      </w:r>
      <w:r w:rsidR="008E3B98" w:rsidRPr="008630B3">
        <w:t>, how we engage with regulated entities, the process of making laws and what is important in regulation</w:t>
      </w:r>
    </w:p>
    <w:p w14:paraId="5EE3235E" w14:textId="462AEC3B" w:rsidR="008E3B98" w:rsidRPr="008630B3" w:rsidRDefault="008E3B98" w:rsidP="008630B3">
      <w:pPr>
        <w:pStyle w:val="ListBullet"/>
      </w:pPr>
      <w:r w:rsidRPr="008630B3">
        <w:t>increas</w:t>
      </w:r>
      <w:r w:rsidR="00894711">
        <w:t>ing</w:t>
      </w:r>
      <w:r w:rsidRPr="008630B3">
        <w:t xml:space="preserve"> training</w:t>
      </w:r>
      <w:r w:rsidR="00894711">
        <w:t xml:space="preserve"> options,</w:t>
      </w:r>
      <w:r w:rsidRPr="008630B3">
        <w:t xml:space="preserve"> including develop</w:t>
      </w:r>
      <w:r w:rsidR="00894711">
        <w:t>ment of</w:t>
      </w:r>
      <w:r w:rsidRPr="008630B3">
        <w:t xml:space="preserve"> a targeted diploma in government </w:t>
      </w:r>
      <w:r w:rsidR="00894711">
        <w:t>that</w:t>
      </w:r>
      <w:r w:rsidRPr="008630B3">
        <w:t xml:space="preserve"> focuse</w:t>
      </w:r>
      <w:r w:rsidR="00894711">
        <w:t>s</w:t>
      </w:r>
      <w:r w:rsidRPr="008630B3">
        <w:t xml:space="preserve"> on regulation.</w:t>
      </w:r>
    </w:p>
    <w:p w14:paraId="7497B762" w14:textId="11819B72" w:rsidR="00A21B94" w:rsidRDefault="00A21B94" w:rsidP="006F553B">
      <w:pPr>
        <w:pStyle w:val="Heading4"/>
      </w:pPr>
      <w:r w:rsidRPr="00AD41FB">
        <w:t>Inspector-</w:t>
      </w:r>
      <w:r w:rsidR="004B7E80">
        <w:t>g</w:t>
      </w:r>
      <w:r w:rsidRPr="00AD41FB">
        <w:t>eneral</w:t>
      </w:r>
      <w:r w:rsidR="008515DB" w:rsidRPr="00AD41FB">
        <w:t>’s</w:t>
      </w:r>
      <w:r w:rsidRPr="00AD41FB">
        <w:t xml:space="preserve"> assessment</w:t>
      </w:r>
    </w:p>
    <w:p w14:paraId="2FB06E09" w14:textId="71835F82" w:rsidR="00030E29" w:rsidRDefault="00030E29" w:rsidP="00C63B97">
      <w:pPr>
        <w:keepNext/>
      </w:pPr>
      <w:r>
        <w:t xml:space="preserve">The </w:t>
      </w:r>
      <w:r w:rsidR="000E5D3A">
        <w:t>i</w:t>
      </w:r>
      <w:r w:rsidR="00A21B94">
        <w:t>nspector-</w:t>
      </w:r>
      <w:r w:rsidR="000E5D3A">
        <w:t>g</w:t>
      </w:r>
      <w:r w:rsidR="00A21B94">
        <w:t xml:space="preserve">eneral </w:t>
      </w:r>
      <w:r>
        <w:t xml:space="preserve">encourages the formal and informal discussions and engagement on regulatory issues that are occurring within the </w:t>
      </w:r>
      <w:r w:rsidR="00F058F5">
        <w:t xml:space="preserve">Plant and </w:t>
      </w:r>
      <w:r>
        <w:t>Live Animal Exports Division. These are a critical part of developing a culture of being professional regulators.</w:t>
      </w:r>
    </w:p>
    <w:p w14:paraId="41FF0572" w14:textId="4F31BE14" w:rsidR="008E3B98" w:rsidRPr="008E3B98" w:rsidRDefault="008E3B98" w:rsidP="008E3B98">
      <w:r w:rsidRPr="008E3B98">
        <w:t xml:space="preserve">The department’s original response to the </w:t>
      </w:r>
      <w:r w:rsidR="006932ED">
        <w:t>Moss Review</w:t>
      </w:r>
      <w:r w:rsidR="00835D30" w:rsidRPr="008E3B98">
        <w:t xml:space="preserve"> </w:t>
      </w:r>
      <w:r w:rsidRPr="008E3B98">
        <w:t>indicated strong aspirations for the role of the Principal Regulatory Officer</w:t>
      </w:r>
      <w:r w:rsidR="00321E2F">
        <w:t xml:space="preserve"> (Department of Agriculture and Water Resources 2018)</w:t>
      </w:r>
      <w:r w:rsidRPr="008E3B98">
        <w:t xml:space="preserve">. The </w:t>
      </w:r>
      <w:r w:rsidR="00DD277D">
        <w:t>d</w:t>
      </w:r>
      <w:r w:rsidRPr="008E3B98">
        <w:t>epartment stated:</w:t>
      </w:r>
    </w:p>
    <w:p w14:paraId="6F80AF04" w14:textId="185DE319" w:rsidR="008E3B98" w:rsidRPr="008E3B98" w:rsidRDefault="008E3B98" w:rsidP="00066783">
      <w:pPr>
        <w:pStyle w:val="Quote"/>
      </w:pPr>
      <w:r w:rsidRPr="008E3B98">
        <w:t xml:space="preserve">The initial focus for this role will be on improving regulatory culture, capability and </w:t>
      </w:r>
      <w:r w:rsidRPr="00224C3D">
        <w:t>practice in</w:t>
      </w:r>
      <w:r w:rsidRPr="008E3B98">
        <w:t xml:space="preserve"> relation to live animal exports. Over time</w:t>
      </w:r>
      <w:r w:rsidR="00224C3D">
        <w:t>,</w:t>
      </w:r>
      <w:r w:rsidRPr="008E3B98">
        <w:t xml:space="preserve"> the Principal Regulatory Officer will help drive a departmental work program focusing on wider regulatory capability and culture in the department, regulatory risk management, non-compliance response, strategic communication and engagement, and regulatory practice and performance evaluation.</w:t>
      </w:r>
    </w:p>
    <w:p w14:paraId="36C72D08" w14:textId="4AEF91E9" w:rsidR="008E3B98" w:rsidRPr="008E3B98" w:rsidRDefault="00D96D26" w:rsidP="008E3B98">
      <w:r>
        <w:t>a</w:t>
      </w:r>
      <w:r w:rsidR="008E3B98" w:rsidRPr="008E3B98">
        <w:t>nd</w:t>
      </w:r>
    </w:p>
    <w:p w14:paraId="12175A0F" w14:textId="0CE40C87" w:rsidR="008E3B98" w:rsidRPr="008E3B98" w:rsidRDefault="008E3B98" w:rsidP="00066783">
      <w:pPr>
        <w:pStyle w:val="Quote"/>
      </w:pPr>
      <w:r w:rsidRPr="008E3B98">
        <w:t>The department has acknowledged that it is a regulator in transition and is working to achieve a better alignment of live export regulatory functions across relevant areas of the department, to deliver a well-connected and coordinated regulatory approach, and enable a more consistent and effective response to non-compliance. The appointment of a Princip</w:t>
      </w:r>
      <w:r w:rsidR="00224C3D">
        <w:t>al</w:t>
      </w:r>
      <w:r w:rsidRPr="008E3B98">
        <w:t xml:space="preserve"> Regulatory Officer will be central to addressing </w:t>
      </w:r>
      <w:r w:rsidRPr="00224C3D">
        <w:t>this in practice</w:t>
      </w:r>
      <w:r w:rsidR="00066783" w:rsidRPr="00224C3D">
        <w:t>.</w:t>
      </w:r>
    </w:p>
    <w:p w14:paraId="24E6B63C" w14:textId="63BD73F4" w:rsidR="008E3B98" w:rsidRPr="008E3B98" w:rsidRDefault="00D96D26" w:rsidP="008E3B98">
      <w:r>
        <w:t>a</w:t>
      </w:r>
      <w:r w:rsidR="008E3B98" w:rsidRPr="008E3B98">
        <w:t>nd</w:t>
      </w:r>
    </w:p>
    <w:p w14:paraId="460B90B3" w14:textId="15F25643" w:rsidR="008E3B98" w:rsidRPr="008E3B98" w:rsidRDefault="008E3B98" w:rsidP="009816EE">
      <w:pPr>
        <w:pStyle w:val="Quote"/>
      </w:pPr>
      <w:r w:rsidRPr="008E3B98">
        <w:t>The Princip</w:t>
      </w:r>
      <w:r w:rsidR="00224C3D">
        <w:t>al</w:t>
      </w:r>
      <w:r w:rsidRPr="008E3B98">
        <w:t xml:space="preserve"> Regulatory Officer will be responsible for working with the senior executive to drive regulatory practice maturity and provide regulatory practice support and guidance to the department, across all regulatory systems administered by the department.</w:t>
      </w:r>
    </w:p>
    <w:p w14:paraId="44BAFB11" w14:textId="23C155C3" w:rsidR="008E3B98" w:rsidRPr="008E3B98" w:rsidRDefault="008E3B98" w:rsidP="008E3B98">
      <w:r w:rsidRPr="008E3B98">
        <w:t xml:space="preserve">The </w:t>
      </w:r>
      <w:r w:rsidR="00224C3D">
        <w:t>d</w:t>
      </w:r>
      <w:r w:rsidRPr="008E3B98">
        <w:t>epartment’s October 2019 progress report stated that:</w:t>
      </w:r>
    </w:p>
    <w:p w14:paraId="543EA56C" w14:textId="1CFA9500" w:rsidR="008E3B98" w:rsidRPr="008E3B98" w:rsidRDefault="008E3B98" w:rsidP="002708AC">
      <w:pPr>
        <w:pStyle w:val="Quote"/>
      </w:pPr>
      <w:r w:rsidRPr="008E3B98">
        <w:t>The office currently provides oversight of the regulation of live animal exports and supports the departments Regulatory Practice Framework. This role is expected to expand over time.</w:t>
      </w:r>
    </w:p>
    <w:p w14:paraId="2D8F60B5" w14:textId="08F08F3A" w:rsidR="001857BF" w:rsidRDefault="008E3B98" w:rsidP="008E3B98">
      <w:r w:rsidRPr="008E3B98">
        <w:t xml:space="preserve">The </w:t>
      </w:r>
      <w:r w:rsidR="000E5D3A">
        <w:t>i</w:t>
      </w:r>
      <w:r w:rsidR="00785611">
        <w:t>nspector-</w:t>
      </w:r>
      <w:r w:rsidR="000E5D3A">
        <w:t>g</w:t>
      </w:r>
      <w:r w:rsidR="00785611">
        <w:t xml:space="preserve">eneral </w:t>
      </w:r>
      <w:r w:rsidR="001857BF">
        <w:t xml:space="preserve">is concerned </w:t>
      </w:r>
      <w:r w:rsidRPr="008E3B98">
        <w:t xml:space="preserve">that the full intent </w:t>
      </w:r>
      <w:r w:rsidR="001857BF">
        <w:t>and</w:t>
      </w:r>
      <w:r w:rsidRPr="008E3B98">
        <w:t xml:space="preserve"> potential of the Principal Regulatory Officer</w:t>
      </w:r>
      <w:r w:rsidR="001857BF">
        <w:t xml:space="preserve"> role has been reduced from the department’s original intent.</w:t>
      </w:r>
      <w:r w:rsidRPr="008E3B98">
        <w:t xml:space="preserve"> The current P</w:t>
      </w:r>
      <w:r w:rsidR="004A491C">
        <w:t xml:space="preserve">rincipal </w:t>
      </w:r>
      <w:r w:rsidRPr="008E3B98">
        <w:t>R</w:t>
      </w:r>
      <w:r w:rsidR="004A491C">
        <w:t xml:space="preserve">egulatory </w:t>
      </w:r>
      <w:r w:rsidRPr="008E3B98">
        <w:t>O</w:t>
      </w:r>
      <w:r w:rsidR="004A491C">
        <w:t>fficer</w:t>
      </w:r>
      <w:r w:rsidRPr="008E3B98">
        <w:t xml:space="preserve"> role is </w:t>
      </w:r>
      <w:r w:rsidR="001857BF">
        <w:t>substantially</w:t>
      </w:r>
      <w:r w:rsidRPr="008E3B98">
        <w:t xml:space="preserve"> limited to the First Assistant Secretary of the </w:t>
      </w:r>
      <w:r w:rsidR="003568AC">
        <w:t xml:space="preserve">Plant and </w:t>
      </w:r>
      <w:r w:rsidRPr="008E3B98">
        <w:t>L</w:t>
      </w:r>
      <w:r w:rsidR="00057C72">
        <w:t xml:space="preserve">ive </w:t>
      </w:r>
      <w:r w:rsidRPr="008E3B98">
        <w:t>A</w:t>
      </w:r>
      <w:r w:rsidR="00057C72">
        <w:t xml:space="preserve">nimal </w:t>
      </w:r>
      <w:r w:rsidRPr="008E3B98">
        <w:t>E</w:t>
      </w:r>
      <w:r w:rsidR="00057C72">
        <w:t>xports</w:t>
      </w:r>
      <w:r w:rsidRPr="008E3B98">
        <w:t xml:space="preserve"> Division</w:t>
      </w:r>
      <w:r w:rsidR="00564A70">
        <w:t>. However,</w:t>
      </w:r>
      <w:r w:rsidR="00321E2F">
        <w:t xml:space="preserve"> the</w:t>
      </w:r>
      <w:r w:rsidR="00564A70">
        <w:t xml:space="preserve"> </w:t>
      </w:r>
      <w:r w:rsidR="000E5D3A">
        <w:t>i</w:t>
      </w:r>
      <w:r w:rsidR="00321E2F">
        <w:t>nspector-</w:t>
      </w:r>
      <w:r w:rsidR="001F3D9C">
        <w:t>g</w:t>
      </w:r>
      <w:r w:rsidR="00321E2F">
        <w:t>eneral</w:t>
      </w:r>
      <w:r w:rsidR="00564A70">
        <w:t xml:space="preserve"> </w:t>
      </w:r>
      <w:r w:rsidR="001857BF">
        <w:t>not</w:t>
      </w:r>
      <w:r w:rsidR="00564A70">
        <w:t>e</w:t>
      </w:r>
      <w:r w:rsidR="00321E2F">
        <w:t>s</w:t>
      </w:r>
      <w:r w:rsidR="00564A70">
        <w:t xml:space="preserve"> that</w:t>
      </w:r>
      <w:r w:rsidR="001857BF">
        <w:t xml:space="preserve"> there are some examples of overarching responsibility for regulatory practice such as leading the department’s work with the Australian Public Service Commission and</w:t>
      </w:r>
      <w:r w:rsidR="008E48C3">
        <w:t xml:space="preserve"> the</w:t>
      </w:r>
      <w:r w:rsidR="001857BF">
        <w:t xml:space="preserve"> </w:t>
      </w:r>
      <w:r w:rsidR="008E48C3">
        <w:t>D</w:t>
      </w:r>
      <w:r w:rsidR="001857BF">
        <w:t xml:space="preserve">epartment of </w:t>
      </w:r>
      <w:r w:rsidR="00564A70">
        <w:t xml:space="preserve">the </w:t>
      </w:r>
      <w:r w:rsidR="001857BF">
        <w:t>Prime Minister and Cabinet to develop new regulatory training for agricultural export regulators</w:t>
      </w:r>
      <w:r w:rsidR="0004050C">
        <w:t>.</w:t>
      </w:r>
    </w:p>
    <w:p w14:paraId="025D0FCF" w14:textId="5FF7D348" w:rsidR="008E3B98" w:rsidRPr="008E3B98" w:rsidRDefault="00564A70" w:rsidP="008E3B98">
      <w:r>
        <w:lastRenderedPageBreak/>
        <w:t>Not all</w:t>
      </w:r>
      <w:r w:rsidR="0004050C">
        <w:t xml:space="preserve"> staff involved in the regulation of live</w:t>
      </w:r>
      <w:r w:rsidR="00BD7FC4">
        <w:t>stock</w:t>
      </w:r>
      <w:r w:rsidR="0004050C">
        <w:t xml:space="preserve"> animal exports </w:t>
      </w:r>
      <w:r w:rsidR="005A7AA1">
        <w:t>work</w:t>
      </w:r>
      <w:r w:rsidR="0004050C">
        <w:t xml:space="preserve"> in th</w:t>
      </w:r>
      <w:r w:rsidR="001857BF">
        <w:t xml:space="preserve">e </w:t>
      </w:r>
      <w:r w:rsidR="00724FA9">
        <w:t xml:space="preserve">Plant and </w:t>
      </w:r>
      <w:r w:rsidR="001857BF">
        <w:t>Live Animal Exports</w:t>
      </w:r>
      <w:r w:rsidR="0004050C">
        <w:t xml:space="preserve"> Division. </w:t>
      </w:r>
      <w:r>
        <w:t>As a result</w:t>
      </w:r>
      <w:r w:rsidR="00D4504E">
        <w:t>,</w:t>
      </w:r>
      <w:r w:rsidR="0004050C">
        <w:t xml:space="preserve"> the</w:t>
      </w:r>
      <w:r w:rsidR="001857BF">
        <w:t xml:space="preserve"> Principal Regulatory Officer does not appear to have</w:t>
      </w:r>
      <w:r w:rsidR="008E3B98" w:rsidRPr="008E3B98">
        <w:t xml:space="preserve"> a cross-</w:t>
      </w:r>
      <w:r w:rsidR="00186958">
        <w:t>d</w:t>
      </w:r>
      <w:r w:rsidR="008E3B98" w:rsidRPr="008E3B98">
        <w:t>ivisional overarching governance imprimatur</w:t>
      </w:r>
      <w:r w:rsidR="00836E53">
        <w:t xml:space="preserve"> </w:t>
      </w:r>
      <w:r w:rsidR="004A491C">
        <w:t>to deliver ‘… a well-connected and coordinated regulatory approach’</w:t>
      </w:r>
      <w:r w:rsidR="008E3B98" w:rsidRPr="008E3B98">
        <w:t xml:space="preserve">. </w:t>
      </w:r>
      <w:r w:rsidR="001857BF">
        <w:t xml:space="preserve">Regulatory </w:t>
      </w:r>
      <w:r w:rsidR="008E3B98" w:rsidRPr="008E3B98">
        <w:t xml:space="preserve">practice does not </w:t>
      </w:r>
      <w:r w:rsidR="000B1858">
        <w:t xml:space="preserve">yet </w:t>
      </w:r>
      <w:r w:rsidR="008E3B98" w:rsidRPr="008E3B98">
        <w:t>demonstrate significant progress in giving effect to an ‘</w:t>
      </w:r>
      <w:r w:rsidR="00681883">
        <w:t>.</w:t>
      </w:r>
      <w:r w:rsidR="008E3B98" w:rsidRPr="008E3B98">
        <w:t>..</w:t>
      </w:r>
      <w:r w:rsidR="00681883">
        <w:t xml:space="preserve"> </w:t>
      </w:r>
      <w:r w:rsidR="008E3B98" w:rsidRPr="008E3B98">
        <w:t xml:space="preserve">arrangement [that] will provide for the end-to-end management of pressing regulatory issues and improved regulatory practice through </w:t>
      </w:r>
      <w:r w:rsidR="005E000E">
        <w:t>decision-mak</w:t>
      </w:r>
      <w:r w:rsidR="008E3B98" w:rsidRPr="008E3B98">
        <w:t>ing that is integrated, consistent and timely’</w:t>
      </w:r>
      <w:r w:rsidR="00B1772E">
        <w:t xml:space="preserve"> (</w:t>
      </w:r>
      <w:r w:rsidR="00B1772E" w:rsidRPr="001D71C2">
        <w:t>Department of Agriculture and Water Resources 2018)</w:t>
      </w:r>
      <w:r w:rsidR="00A65A21">
        <w:t xml:space="preserve"> (see </w:t>
      </w:r>
      <w:hyperlink w:anchor="_Toc27476183" w:history="1">
        <w:r w:rsidR="00A65A21" w:rsidRPr="00A65A21">
          <w:rPr>
            <w:rStyle w:val="Hyperlink"/>
          </w:rPr>
          <w:t>2 Improved regulatory practice</w:t>
        </w:r>
      </w:hyperlink>
      <w:r w:rsidR="00A65A21">
        <w:t>)</w:t>
      </w:r>
      <w:r w:rsidR="00B1772E" w:rsidRPr="001D71C2">
        <w:t>.</w:t>
      </w:r>
    </w:p>
    <w:p w14:paraId="2EAD11C3" w14:textId="4EED17D5" w:rsidR="00AD7E81" w:rsidRDefault="005E000E" w:rsidP="00543338">
      <w:pPr>
        <w:pStyle w:val="BoxHeading"/>
      </w:pPr>
      <w:r>
        <w:t xml:space="preserve">Moss </w:t>
      </w:r>
      <w:r w:rsidR="00103977">
        <w:t xml:space="preserve">Review </w:t>
      </w:r>
      <w:r>
        <w:t>r</w:t>
      </w:r>
      <w:r w:rsidR="008E3B98" w:rsidRPr="008E3B98">
        <w:t>ecommendation 21</w:t>
      </w:r>
    </w:p>
    <w:p w14:paraId="47341712" w14:textId="12BD0EAB" w:rsidR="008E3B98" w:rsidRDefault="008E3B98" w:rsidP="00AD7E81">
      <w:pPr>
        <w:pStyle w:val="BoxText"/>
      </w:pPr>
      <w:r w:rsidRPr="008E3B98">
        <w:t>That the department engage in a cultural shift in its role as the regulator of live animal exports and ensure that its staff members understand the need for and implications of this</w:t>
      </w:r>
      <w:r w:rsidR="007D6485">
        <w:t xml:space="preserve"> </w:t>
      </w:r>
      <w:r w:rsidRPr="008E3B98">
        <w:t>change.</w:t>
      </w:r>
    </w:p>
    <w:p w14:paraId="75C730EE" w14:textId="0C664333" w:rsidR="00AD7E81" w:rsidRPr="00543338" w:rsidRDefault="00AD7E81" w:rsidP="00543338">
      <w:pPr>
        <w:pStyle w:val="BoxText"/>
        <w:keepNext/>
        <w:rPr>
          <w:b/>
          <w:bCs/>
        </w:rPr>
      </w:pPr>
      <w:r w:rsidRPr="008E3402">
        <w:rPr>
          <w:rStyle w:val="Strong"/>
        </w:rPr>
        <w:t>Implementation status</w:t>
      </w:r>
    </w:p>
    <w:p w14:paraId="3465E116" w14:textId="7718F006" w:rsidR="008E3B98" w:rsidRPr="00543338" w:rsidRDefault="008E3B98" w:rsidP="00543338">
      <w:pPr>
        <w:pStyle w:val="BoxTextBullet"/>
      </w:pPr>
      <w:r w:rsidRPr="00543338">
        <w:t xml:space="preserve">Department’s </w:t>
      </w:r>
      <w:r w:rsidR="00AD7E81">
        <w:t>assessment</w:t>
      </w:r>
      <w:r w:rsidRPr="00543338">
        <w:t>: Ongoing</w:t>
      </w:r>
    </w:p>
    <w:p w14:paraId="2E5D0405" w14:textId="73ABB9F4" w:rsidR="00AD7E81" w:rsidRPr="00543338" w:rsidRDefault="008A5824" w:rsidP="00543338">
      <w:pPr>
        <w:pStyle w:val="BoxTextBullet"/>
      </w:pPr>
      <w:r>
        <w:t>Inspector-</w:t>
      </w:r>
      <w:r w:rsidR="004B7E80">
        <w:t>g</w:t>
      </w:r>
      <w:r>
        <w:t>eneral’s assessment:</w:t>
      </w:r>
      <w:r w:rsidR="00AD7E81" w:rsidRPr="00543338">
        <w:t xml:space="preserve"> </w:t>
      </w:r>
      <w:r w:rsidR="00055C41">
        <w:t>Implemented - o</w:t>
      </w:r>
      <w:r w:rsidR="00AD7E81" w:rsidRPr="00543338">
        <w:t>ngoing</w:t>
      </w:r>
    </w:p>
    <w:p w14:paraId="0631A062" w14:textId="0FB3675C" w:rsidR="00660B71" w:rsidRDefault="00660B71" w:rsidP="006F553B">
      <w:pPr>
        <w:pStyle w:val="Heading4"/>
      </w:pPr>
      <w:r>
        <w:t xml:space="preserve">Department’s response: </w:t>
      </w:r>
      <w:r w:rsidR="00C1688A">
        <w:t>Unknown</w:t>
      </w:r>
    </w:p>
    <w:p w14:paraId="10608E85" w14:textId="39660C1C" w:rsidR="008E3B98" w:rsidRPr="008E3B98" w:rsidRDefault="008E3B98" w:rsidP="008E3B98">
      <w:r w:rsidRPr="008E3B98">
        <w:t>Executive staff continually lead discussion</w:t>
      </w:r>
      <w:r w:rsidR="005A7AA1">
        <w:t>s</w:t>
      </w:r>
      <w:r w:rsidRPr="008E3B98">
        <w:t xml:space="preserve"> about </w:t>
      </w:r>
      <w:r w:rsidR="00543338">
        <w:t xml:space="preserve">their </w:t>
      </w:r>
      <w:r w:rsidRPr="008E3B98">
        <w:t>regulatory culture at branch and divisional meetings.</w:t>
      </w:r>
      <w:r w:rsidR="001F3D9C">
        <w:t xml:space="preserve"> </w:t>
      </w:r>
      <w:r w:rsidR="007D26F3">
        <w:t>Informal</w:t>
      </w:r>
      <w:r w:rsidRPr="008E3B98">
        <w:t xml:space="preserve"> sessions continue to run on a monthly basis to discuss regulatory practice.</w:t>
      </w:r>
    </w:p>
    <w:p w14:paraId="634833E5" w14:textId="46E1AB80" w:rsidR="008E3B98" w:rsidRPr="008E3B98" w:rsidRDefault="008E3B98" w:rsidP="00543338">
      <w:pPr>
        <w:keepNext/>
      </w:pPr>
      <w:r w:rsidRPr="008E3B98">
        <w:t>The L</w:t>
      </w:r>
      <w:r w:rsidR="00823C64">
        <w:t xml:space="preserve">ive </w:t>
      </w:r>
      <w:r w:rsidRPr="008E3B98">
        <w:t>A</w:t>
      </w:r>
      <w:r w:rsidR="00823C64">
        <w:t xml:space="preserve">nimal </w:t>
      </w:r>
      <w:r w:rsidRPr="008E3B98">
        <w:t>E</w:t>
      </w:r>
      <w:r w:rsidR="00823C64">
        <w:t>xport</w:t>
      </w:r>
      <w:r w:rsidRPr="008E3B98">
        <w:t xml:space="preserve"> Branch EL1 leadership program has covered topics relevant to regulatory culture and best practice. Guest speakers are often asked to </w:t>
      </w:r>
      <w:r w:rsidR="007D26F3">
        <w:t>address</w:t>
      </w:r>
      <w:r w:rsidRPr="008E3B98">
        <w:t xml:space="preserve"> the division as part of this program, including:</w:t>
      </w:r>
    </w:p>
    <w:p w14:paraId="63FBBF24" w14:textId="36472448" w:rsidR="008E3B98" w:rsidRPr="008E3B98" w:rsidRDefault="008E3B98" w:rsidP="008E3B98">
      <w:pPr>
        <w:numPr>
          <w:ilvl w:val="0"/>
          <w:numId w:val="6"/>
        </w:numPr>
        <w:spacing w:after="120"/>
      </w:pPr>
      <w:r w:rsidRPr="008E3B98">
        <w:t xml:space="preserve">In February 2020, </w:t>
      </w:r>
      <w:r w:rsidR="005A7AA1">
        <w:t xml:space="preserve">the </w:t>
      </w:r>
      <w:r w:rsidRPr="008E3B98">
        <w:t xml:space="preserve">Director </w:t>
      </w:r>
      <w:r w:rsidR="004A1825">
        <w:t xml:space="preserve">of </w:t>
      </w:r>
      <w:r w:rsidRPr="008E3B98">
        <w:t>Regulatory Programs Regulatory Operations Division</w:t>
      </w:r>
      <w:r w:rsidR="005A7AA1">
        <w:t>,</w:t>
      </w:r>
      <w:r w:rsidRPr="008E3B98">
        <w:t xml:space="preserve"> EPA Victoria spoke about </w:t>
      </w:r>
      <w:r w:rsidR="007D26F3">
        <w:t xml:space="preserve">the </w:t>
      </w:r>
      <w:r w:rsidRPr="008E3B98">
        <w:t xml:space="preserve">experiences </w:t>
      </w:r>
      <w:r w:rsidR="007D26F3">
        <w:t>of</w:t>
      </w:r>
      <w:r w:rsidRPr="008E3B98">
        <w:t xml:space="preserve"> a state regulator</w:t>
      </w:r>
      <w:r w:rsidR="005A7AA1">
        <w:t>,</w:t>
      </w:r>
      <w:r w:rsidRPr="008E3B98">
        <w:t xml:space="preserve"> lessons learnt and best practice regulation.</w:t>
      </w:r>
    </w:p>
    <w:p w14:paraId="4BE0B7F2" w14:textId="62479C7F" w:rsidR="008E3B98" w:rsidRPr="008E3B98" w:rsidRDefault="008E3B98" w:rsidP="008E3B98">
      <w:pPr>
        <w:numPr>
          <w:ilvl w:val="0"/>
          <w:numId w:val="6"/>
        </w:numPr>
        <w:spacing w:after="120"/>
      </w:pPr>
      <w:r w:rsidRPr="008E3B98">
        <w:t xml:space="preserve">In June 2020, </w:t>
      </w:r>
      <w:r w:rsidR="007D26F3">
        <w:t xml:space="preserve">the </w:t>
      </w:r>
      <w:r w:rsidRPr="008E3B98">
        <w:t xml:space="preserve">CEO </w:t>
      </w:r>
      <w:r w:rsidR="007D26F3">
        <w:t xml:space="preserve">of the </w:t>
      </w:r>
      <w:r w:rsidRPr="008E3B98">
        <w:t>Murray</w:t>
      </w:r>
      <w:r w:rsidR="007D26F3">
        <w:t>–</w:t>
      </w:r>
      <w:r w:rsidRPr="008E3B98">
        <w:t>Darling Basin Authority spoke about successfully engaging with risk.</w:t>
      </w:r>
    </w:p>
    <w:p w14:paraId="06FDA006" w14:textId="0DF38AF0" w:rsidR="008E3B98" w:rsidRPr="008E3B98" w:rsidRDefault="00DE5DAD" w:rsidP="008E3B98">
      <w:r>
        <w:t>The department has undertaken n</w:t>
      </w:r>
      <w:r w:rsidR="008E3B98" w:rsidRPr="008E3B98">
        <w:t xml:space="preserve">ew regulatory activities. For example, in June 2020 an exporter was issued with a notice of reprimand and a public statement </w:t>
      </w:r>
      <w:r>
        <w:t>about</w:t>
      </w:r>
      <w:r w:rsidR="008E3B98" w:rsidRPr="008E3B98">
        <w:t xml:space="preserve"> this action was published on the department’s website. A reprimand had never previously been issued.</w:t>
      </w:r>
    </w:p>
    <w:p w14:paraId="6FDECA0C" w14:textId="7822DF59" w:rsidR="00A21B94" w:rsidRDefault="00A21B94" w:rsidP="006F553B">
      <w:pPr>
        <w:pStyle w:val="Heading4"/>
      </w:pPr>
      <w:r w:rsidRPr="00AD41FB">
        <w:t>Inspector-</w:t>
      </w:r>
      <w:r w:rsidR="004B7E80">
        <w:t>g</w:t>
      </w:r>
      <w:r w:rsidRPr="00AD41FB">
        <w:t>eneral</w:t>
      </w:r>
      <w:r w:rsidR="008515DB" w:rsidRPr="00AD41FB">
        <w:t>’s</w:t>
      </w:r>
      <w:r w:rsidRPr="00AD41FB">
        <w:t xml:space="preserve"> assessment</w:t>
      </w:r>
    </w:p>
    <w:p w14:paraId="6103E7C1" w14:textId="02C3ECBB" w:rsidR="00DA1BDA" w:rsidRDefault="00DE5DAD" w:rsidP="008E3B98">
      <w:r>
        <w:t>T</w:t>
      </w:r>
      <w:r w:rsidR="00DA1BDA">
        <w:t xml:space="preserve">he </w:t>
      </w:r>
      <w:r w:rsidR="001F3D9C">
        <w:t>i</w:t>
      </w:r>
      <w:r w:rsidR="00A21B94">
        <w:t>nspector-</w:t>
      </w:r>
      <w:r w:rsidR="001F3D9C">
        <w:t>g</w:t>
      </w:r>
      <w:r w:rsidR="00A21B94">
        <w:t xml:space="preserve">eneral </w:t>
      </w:r>
      <w:r w:rsidR="00DA1BDA">
        <w:t xml:space="preserve">acknowledges and encourages the discussions and engagement that </w:t>
      </w:r>
      <w:r>
        <w:t>are</w:t>
      </w:r>
      <w:r w:rsidR="00DA1BDA">
        <w:t xml:space="preserve"> occurring within the </w:t>
      </w:r>
      <w:r w:rsidR="006C3257">
        <w:t xml:space="preserve">Plant and </w:t>
      </w:r>
      <w:r w:rsidR="00DA1BDA">
        <w:t>Live Animal Exports Division.</w:t>
      </w:r>
    </w:p>
    <w:p w14:paraId="4AF0C93D" w14:textId="41E571E0" w:rsidR="008E3B98" w:rsidRPr="008E3B98" w:rsidRDefault="00DA1BDA" w:rsidP="008E3B98">
      <w:r>
        <w:t xml:space="preserve">An issue that will benefit from this ongoing discussion and engagement is the way the department balances the range of objectives it seeks to achieve. </w:t>
      </w:r>
      <w:r w:rsidR="00DE5DAD">
        <w:t>Several</w:t>
      </w:r>
      <w:r w:rsidR="008E3B98" w:rsidRPr="008E3B98">
        <w:t xml:space="preserve"> submissions to this review </w:t>
      </w:r>
      <w:r w:rsidR="00DE5DAD">
        <w:t xml:space="preserve">noted </w:t>
      </w:r>
      <w:r w:rsidR="008E3B98" w:rsidRPr="008E3B98">
        <w:t xml:space="preserve">that </w:t>
      </w:r>
      <w:r w:rsidR="001D3FBE">
        <w:t xml:space="preserve">some </w:t>
      </w:r>
      <w:r w:rsidR="008E3B98" w:rsidRPr="008E3B98">
        <w:t xml:space="preserve">stakeholders </w:t>
      </w:r>
      <w:r w:rsidR="005737C5">
        <w:t xml:space="preserve">continue </w:t>
      </w:r>
      <w:r w:rsidR="002E69B6">
        <w:t xml:space="preserve">to </w:t>
      </w:r>
      <w:r w:rsidR="008E3B98" w:rsidRPr="008E3B98">
        <w:t xml:space="preserve">perceive a conflict between the department’s role as a regulator and its role as a trade facilitator. </w:t>
      </w:r>
      <w:r w:rsidR="008E3B98" w:rsidRPr="00DE5DAD">
        <w:t xml:space="preserve">This was recognised in the </w:t>
      </w:r>
      <w:r w:rsidR="006932ED" w:rsidRPr="00DE5DAD">
        <w:t>Moss Review</w:t>
      </w:r>
      <w:r w:rsidR="008E3B98" w:rsidRPr="00DE5DAD">
        <w:t>:</w:t>
      </w:r>
    </w:p>
    <w:p w14:paraId="126518CE" w14:textId="55C80D26" w:rsidR="008E3B98" w:rsidRPr="008E3B98" w:rsidRDefault="008E3B98" w:rsidP="00A21117">
      <w:pPr>
        <w:pStyle w:val="Quote"/>
      </w:pPr>
      <w:r w:rsidRPr="008E3B98">
        <w:t xml:space="preserve">The focus on trade facilitation and industry deregulation appears to have had a negative </w:t>
      </w:r>
      <w:r w:rsidR="008B6E44" w:rsidRPr="008E3B98">
        <w:t xml:space="preserve">impact </w:t>
      </w:r>
      <w:r w:rsidRPr="008E3B98">
        <w:t>the department’s culture as a regulator</w:t>
      </w:r>
      <w:r w:rsidR="00823C64">
        <w:t xml:space="preserve"> </w:t>
      </w:r>
      <w:r w:rsidR="00823C64" w:rsidRPr="001D71C2">
        <w:t>(Moss 2018)</w:t>
      </w:r>
      <w:r w:rsidRPr="001D71C2">
        <w:t>.</w:t>
      </w:r>
    </w:p>
    <w:p w14:paraId="4B75630A" w14:textId="56EC6D47" w:rsidR="008E3B98" w:rsidRDefault="000134AE" w:rsidP="008E3B98">
      <w:r>
        <w:lastRenderedPageBreak/>
        <w:t>R</w:t>
      </w:r>
      <w:r w:rsidR="008E3B98" w:rsidRPr="008E3B98">
        <w:t xml:space="preserve">ecent departmental decisions </w:t>
      </w:r>
      <w:r w:rsidR="00660B71">
        <w:t>in relation to</w:t>
      </w:r>
      <w:r w:rsidR="008E3B98" w:rsidRPr="008E3B98">
        <w:t xml:space="preserve"> exemptions to the </w:t>
      </w:r>
      <w:r w:rsidRPr="000134AE">
        <w:t>Australian Meat and Live‑stock Industry (Prohibition of Export of Sheep by Sea to Middle East—Northern Summer) Order 2020</w:t>
      </w:r>
      <w:r w:rsidR="008E3B98" w:rsidRPr="008E3B98">
        <w:t xml:space="preserve"> </w:t>
      </w:r>
      <w:r w:rsidR="005737C5">
        <w:t>have reinforce</w:t>
      </w:r>
      <w:r>
        <w:t>d</w:t>
      </w:r>
      <w:r w:rsidR="005737C5">
        <w:t xml:space="preserve"> this perception</w:t>
      </w:r>
      <w:r w:rsidR="00DA1BDA">
        <w:t xml:space="preserve"> </w:t>
      </w:r>
      <w:r w:rsidR="00AE73ED">
        <w:t>among</w:t>
      </w:r>
      <w:r w:rsidR="00DA1BDA">
        <w:t xml:space="preserve"> some stakeholders</w:t>
      </w:r>
      <w:r w:rsidR="000975F5">
        <w:t xml:space="preserve"> (</w:t>
      </w:r>
      <w:r w:rsidR="00A65A21" w:rsidRPr="00D64182">
        <w:t xml:space="preserve">see </w:t>
      </w:r>
      <w:r w:rsidR="00A65A21" w:rsidRPr="00A65A21">
        <w:t>2</w:t>
      </w:r>
      <w:r>
        <w:t> </w:t>
      </w:r>
      <w:hyperlink w:anchor="_Toc27476183" w:history="1">
        <w:r w:rsidR="00A65A21" w:rsidRPr="00D64182">
          <w:rPr>
            <w:rStyle w:val="Hyperlink"/>
          </w:rPr>
          <w:t>Improved</w:t>
        </w:r>
        <w:r w:rsidR="00A65A21" w:rsidRPr="00A65A21">
          <w:rPr>
            <w:rStyle w:val="Hyperlink"/>
          </w:rPr>
          <w:t xml:space="preserve"> regulatory pract</w:t>
        </w:r>
        <w:r w:rsidR="00A65A21" w:rsidRPr="00D64182">
          <w:rPr>
            <w:rStyle w:val="Hyperlink"/>
          </w:rPr>
          <w:t>ice</w:t>
        </w:r>
      </w:hyperlink>
      <w:r w:rsidR="00A65A21" w:rsidRPr="00D64182">
        <w:t>).</w:t>
      </w:r>
    </w:p>
    <w:p w14:paraId="16CB40F7" w14:textId="44C4ECA9" w:rsidR="00AD7E81" w:rsidRDefault="005E000E" w:rsidP="00D64182">
      <w:pPr>
        <w:pStyle w:val="BoxHeading"/>
      </w:pPr>
      <w:r>
        <w:t xml:space="preserve">Moss </w:t>
      </w:r>
      <w:r w:rsidR="00103977">
        <w:t xml:space="preserve">Review </w:t>
      </w:r>
      <w:r>
        <w:t>r</w:t>
      </w:r>
      <w:r w:rsidR="008E3B98" w:rsidRPr="008E3B98">
        <w:t>ecommendation 31</w:t>
      </w:r>
    </w:p>
    <w:p w14:paraId="7B59659E" w14:textId="51B7FA64" w:rsidR="008E3B98" w:rsidRDefault="008E3B98" w:rsidP="00AD7E81">
      <w:pPr>
        <w:pStyle w:val="BoxText"/>
      </w:pPr>
      <w:r w:rsidRPr="008E3B98">
        <w:t>That the department strengthen its regulatory capability and culture, including in relation to live animal exports, by developing its whole-of-department integrity measures.</w:t>
      </w:r>
    </w:p>
    <w:p w14:paraId="11D895C8" w14:textId="646D3468" w:rsidR="00AD7E81" w:rsidRPr="00D64182" w:rsidRDefault="00AD7E81" w:rsidP="00D64182">
      <w:pPr>
        <w:pStyle w:val="BoxText"/>
        <w:keepNext/>
        <w:rPr>
          <w:b/>
          <w:bCs/>
        </w:rPr>
      </w:pPr>
      <w:r w:rsidRPr="008E3402">
        <w:rPr>
          <w:rStyle w:val="Strong"/>
        </w:rPr>
        <w:t>Implementation status</w:t>
      </w:r>
    </w:p>
    <w:p w14:paraId="2F9C4FEB" w14:textId="1B2CB1F3" w:rsidR="008E3B98" w:rsidRPr="00D64182" w:rsidRDefault="008E3B98" w:rsidP="00D64182">
      <w:pPr>
        <w:pStyle w:val="BoxTextBullet"/>
      </w:pPr>
      <w:r w:rsidRPr="00D64182">
        <w:t xml:space="preserve">Department’s </w:t>
      </w:r>
      <w:r w:rsidR="002A71F7">
        <w:t>assessment</w:t>
      </w:r>
      <w:r w:rsidRPr="00D64182">
        <w:t>: Complete</w:t>
      </w:r>
    </w:p>
    <w:p w14:paraId="7839EEC9" w14:textId="71404C0E" w:rsidR="00AD7E81" w:rsidRPr="007A5762" w:rsidRDefault="008A5824" w:rsidP="00D64182">
      <w:pPr>
        <w:pStyle w:val="BoxTextBullet"/>
      </w:pPr>
      <w:r>
        <w:t>Inspector-</w:t>
      </w:r>
      <w:r w:rsidR="00C4179D">
        <w:t>g</w:t>
      </w:r>
      <w:r>
        <w:t>eneral’s assessment:</w:t>
      </w:r>
      <w:r w:rsidR="00AD7E81" w:rsidRPr="00D64182">
        <w:t xml:space="preserve"> Implemented – </w:t>
      </w:r>
      <w:r w:rsidR="00BA06A4" w:rsidRPr="00D64182">
        <w:t>o</w:t>
      </w:r>
      <w:r w:rsidR="00AD7E81" w:rsidRPr="00D64182">
        <w:t>ngoing</w:t>
      </w:r>
    </w:p>
    <w:p w14:paraId="6BA3B779" w14:textId="77777777" w:rsidR="00660B71" w:rsidRDefault="00660B71" w:rsidP="006F553B">
      <w:pPr>
        <w:pStyle w:val="Heading4"/>
      </w:pPr>
      <w:r>
        <w:t>Department’s response: Support</w:t>
      </w:r>
    </w:p>
    <w:p w14:paraId="1AB2A50B" w14:textId="02C2906D" w:rsidR="008E3B98" w:rsidRPr="008E3B98" w:rsidRDefault="005A7AA1" w:rsidP="008E3B98">
      <w:r>
        <w:t>Rai</w:t>
      </w:r>
      <w:r w:rsidRPr="008E3B98">
        <w:t xml:space="preserve">sing </w:t>
      </w:r>
      <w:r w:rsidR="00C83530">
        <w:t xml:space="preserve">staff awareness about </w:t>
      </w:r>
      <w:r w:rsidR="008E3B98" w:rsidRPr="008E3B98">
        <w:t>integrity</w:t>
      </w:r>
      <w:r w:rsidR="00C83530">
        <w:t xml:space="preserve"> </w:t>
      </w:r>
      <w:r w:rsidR="008E3B98" w:rsidRPr="008E3B98">
        <w:t>is a priority for the department and updating integrity policies and processes is an ongoing task.</w:t>
      </w:r>
    </w:p>
    <w:p w14:paraId="52725316" w14:textId="1CB63AAE" w:rsidR="008E3B98" w:rsidRPr="008E3B98" w:rsidRDefault="008E3B98" w:rsidP="008E3B98">
      <w:r w:rsidRPr="008E3B98">
        <w:t xml:space="preserve">The department’s integrity framework </w:t>
      </w:r>
      <w:r w:rsidR="005A7AA1">
        <w:t>states</w:t>
      </w:r>
      <w:r w:rsidRPr="008E3B98">
        <w:t xml:space="preserve"> that all officers have a critical role in upholding integrity through their </w:t>
      </w:r>
      <w:r w:rsidR="005E000E">
        <w:t>decision-mak</w:t>
      </w:r>
      <w:r w:rsidRPr="008E3B98">
        <w:t xml:space="preserve">ing processes and by using good judgement. </w:t>
      </w:r>
      <w:r w:rsidR="005A7AA1">
        <w:t>The framework</w:t>
      </w:r>
      <w:r w:rsidRPr="008E3B98">
        <w:t xml:space="preserve"> outlines the department’s commitment to limit integrity risks and build capabilities and capacity to maintain trust. It focuses on key themes, including privacy, unacceptable behaviour, fraud and corruption, misuse of IT, conflicts of interest and security.</w:t>
      </w:r>
    </w:p>
    <w:p w14:paraId="06EA66C3" w14:textId="5AF33503" w:rsidR="008E3B98" w:rsidRPr="008E3B98" w:rsidRDefault="008E3B98" w:rsidP="008E3B98">
      <w:r w:rsidRPr="008E3B98">
        <w:t xml:space="preserve">In 2018, the department commenced a national training program to ensure all staff understand how positive integrity practices </w:t>
      </w:r>
      <w:r w:rsidR="00B27CB4">
        <w:t>affect</w:t>
      </w:r>
      <w:r w:rsidRPr="008E3B98">
        <w:t xml:space="preserve"> their work. </w:t>
      </w:r>
      <w:r w:rsidR="00C83530">
        <w:t>Rai</w:t>
      </w:r>
      <w:r w:rsidRPr="008E3B98">
        <w:t xml:space="preserve">sing </w:t>
      </w:r>
      <w:r w:rsidR="00C83530">
        <w:t xml:space="preserve">staff </w:t>
      </w:r>
      <w:r w:rsidRPr="008E3B98">
        <w:t xml:space="preserve">awareness </w:t>
      </w:r>
      <w:r w:rsidR="00C83530">
        <w:t xml:space="preserve">about integrity </w:t>
      </w:r>
      <w:r w:rsidRPr="008E3B98">
        <w:t>is part of the department’s longer</w:t>
      </w:r>
      <w:r w:rsidR="00B27CB4">
        <w:t>-</w:t>
      </w:r>
      <w:r w:rsidRPr="008E3B98">
        <w:t>term plan to improve the way its people work</w:t>
      </w:r>
      <w:r w:rsidR="00C83530">
        <w:t xml:space="preserve"> and </w:t>
      </w:r>
      <w:r w:rsidRPr="008E3B98">
        <w:t>deal with challenging integrity issues, and</w:t>
      </w:r>
      <w:r w:rsidR="00C83530">
        <w:t xml:space="preserve"> to</w:t>
      </w:r>
      <w:r w:rsidR="00B27CB4">
        <w:t xml:space="preserve"> </w:t>
      </w:r>
      <w:r w:rsidRPr="008E3B98">
        <w:t>support those who need to manage difficult integrity situations. Integrity awareness sessions have continued in 20</w:t>
      </w:r>
      <w:r w:rsidR="00B27CB4">
        <w:t>20</w:t>
      </w:r>
      <w:r w:rsidRPr="008E3B98">
        <w:t>.</w:t>
      </w:r>
    </w:p>
    <w:p w14:paraId="7D09D143" w14:textId="24191090" w:rsidR="008E3B98" w:rsidRPr="008E3B98" w:rsidRDefault="008E3B98" w:rsidP="001E6981">
      <w:pPr>
        <w:pStyle w:val="Heading3"/>
      </w:pPr>
      <w:bookmarkStart w:id="20" w:name="_Animal_welfare_being"/>
      <w:bookmarkStart w:id="21" w:name="_Toc54018246"/>
      <w:bookmarkStart w:id="22" w:name="_Toc54110530"/>
      <w:bookmarkStart w:id="23" w:name="_Animal_welfare_being_1"/>
      <w:bookmarkStart w:id="24" w:name="_Toc50537092"/>
      <w:bookmarkStart w:id="25" w:name="_Toc58774284"/>
      <w:bookmarkEnd w:id="20"/>
      <w:bookmarkEnd w:id="21"/>
      <w:bookmarkEnd w:id="22"/>
      <w:bookmarkEnd w:id="23"/>
      <w:r w:rsidRPr="008E3B98">
        <w:t>Animal welfare being integral to the regulatory approach</w:t>
      </w:r>
      <w:bookmarkEnd w:id="24"/>
      <w:bookmarkEnd w:id="25"/>
    </w:p>
    <w:p w14:paraId="25262AA2" w14:textId="48D393F4" w:rsidR="002F5A7E" w:rsidRDefault="002F5A7E" w:rsidP="00B27CB4">
      <w:r>
        <w:t xml:space="preserve">In </w:t>
      </w:r>
      <w:r w:rsidR="000714AE">
        <w:t xml:space="preserve">its </w:t>
      </w:r>
      <w:r>
        <w:t>2018</w:t>
      </w:r>
      <w:r w:rsidR="000714AE">
        <w:t xml:space="preserve"> </w:t>
      </w:r>
      <w:r>
        <w:t>response to the Moss Review, the depart</w:t>
      </w:r>
      <w:r w:rsidR="00411435">
        <w:t>ment</w:t>
      </w:r>
      <w:r>
        <w:t xml:space="preserve"> stated:</w:t>
      </w:r>
    </w:p>
    <w:p w14:paraId="7CADEFD2" w14:textId="2037F98E" w:rsidR="008E3B98" w:rsidRPr="008E3B98" w:rsidRDefault="008E3B98" w:rsidP="00D64182">
      <w:pPr>
        <w:pStyle w:val="Quote"/>
      </w:pPr>
      <w:r w:rsidRPr="008E3B98">
        <w:t>The department is committed to ensuring animal welfare is integral to its regulatory approach for exports</w:t>
      </w:r>
      <w:r w:rsidR="00B27CB4">
        <w:t>. It</w:t>
      </w:r>
      <w:r w:rsidRPr="008E3B98">
        <w:t xml:space="preserve"> has commenced work to improve </w:t>
      </w:r>
      <w:r w:rsidR="00B27CB4">
        <w:t>regulation</w:t>
      </w:r>
      <w:r w:rsidRPr="008E3B98">
        <w:t xml:space="preserve"> </w:t>
      </w:r>
      <w:r w:rsidR="00B27CB4">
        <w:t>of</w:t>
      </w:r>
      <w:r w:rsidRPr="008E3B98">
        <w:t xml:space="preserve"> livestock exports through the reviews of the Australian Standards for the Export of Livestock (</w:t>
      </w:r>
      <w:r w:rsidRPr="00141865">
        <w:t>ASEL)</w:t>
      </w:r>
      <w:r w:rsidRPr="008E3B98">
        <w:t xml:space="preserve"> and the </w:t>
      </w:r>
      <w:r w:rsidR="00B27CB4">
        <w:t>h</w:t>
      </w:r>
      <w:r w:rsidRPr="008E3B98">
        <w:t xml:space="preserve">eat </w:t>
      </w:r>
      <w:r w:rsidR="00B27CB4">
        <w:t>s</w:t>
      </w:r>
      <w:r w:rsidRPr="008E3B98">
        <w:t xml:space="preserve">tress </w:t>
      </w:r>
      <w:r w:rsidR="00B27CB4">
        <w:t>r</w:t>
      </w:r>
      <w:r w:rsidRPr="008E3B98">
        <w:t xml:space="preserve">isk </w:t>
      </w:r>
      <w:r w:rsidR="00B27CB4">
        <w:t>a</w:t>
      </w:r>
      <w:r w:rsidRPr="008E3B98">
        <w:t>ssessment model. Scientifically based animal welfare indicators will be incorporated in</w:t>
      </w:r>
      <w:r w:rsidR="002F5A7E">
        <w:t>to</w:t>
      </w:r>
      <w:r w:rsidRPr="008E3B98">
        <w:t xml:space="preserve"> the livestock export framework. The department will also re-establish an Animal Welfare Branch, which will include in its mandate ongoing activities to support the effective implementation and regulation of animal welfare standards for live animal exports (</w:t>
      </w:r>
      <w:r w:rsidRPr="001D71C2">
        <w:t>Department of Agriculture and Water Resources 2018).</w:t>
      </w:r>
    </w:p>
    <w:p w14:paraId="05E8D9A5" w14:textId="63DB24E0" w:rsidR="00AD7E81" w:rsidRDefault="005E000E" w:rsidP="006A7287">
      <w:pPr>
        <w:pStyle w:val="BoxHeading"/>
        <w:keepNext/>
      </w:pPr>
      <w:r>
        <w:lastRenderedPageBreak/>
        <w:t xml:space="preserve">Moss </w:t>
      </w:r>
      <w:r w:rsidR="00103977">
        <w:t xml:space="preserve">Review </w:t>
      </w:r>
      <w:r>
        <w:t>r</w:t>
      </w:r>
      <w:r w:rsidR="008E3B98" w:rsidRPr="008E3B98">
        <w:t>ecommendation 1</w:t>
      </w:r>
    </w:p>
    <w:p w14:paraId="6A49A2E0" w14:textId="77777777" w:rsidR="006A7287" w:rsidRDefault="008E3B98" w:rsidP="006A7287">
      <w:pPr>
        <w:pStyle w:val="BoxText"/>
        <w:keepNext/>
      </w:pPr>
      <w:r w:rsidRPr="008E3B98">
        <w:t>That the department ensure the Australian Standards for the Export of Livestock are reviewed on a regular basis to reflect industry, scientific and regulatory developments and community expectations concerning live animal exports.</w:t>
      </w:r>
    </w:p>
    <w:p w14:paraId="794FBFCE" w14:textId="25FA56E6" w:rsidR="00AD7E81" w:rsidRPr="003847E4" w:rsidRDefault="00AD7E81" w:rsidP="006A7287">
      <w:pPr>
        <w:pStyle w:val="BoxText"/>
        <w:keepNext/>
        <w:rPr>
          <w:b/>
          <w:bCs/>
        </w:rPr>
      </w:pPr>
      <w:r w:rsidRPr="008E3402">
        <w:rPr>
          <w:rStyle w:val="Strong"/>
        </w:rPr>
        <w:t>Implementation status</w:t>
      </w:r>
    </w:p>
    <w:p w14:paraId="3088919C" w14:textId="2361392C" w:rsidR="00AD7E81" w:rsidRPr="003847E4" w:rsidRDefault="008E3B98" w:rsidP="006A7287">
      <w:pPr>
        <w:pStyle w:val="BoxTextBullet"/>
        <w:keepNext/>
      </w:pPr>
      <w:r w:rsidRPr="003847E4">
        <w:t xml:space="preserve">Department’s </w:t>
      </w:r>
      <w:r w:rsidR="00AD7E81">
        <w:t>assessment</w:t>
      </w:r>
      <w:r w:rsidRPr="003847E4">
        <w:t>: In progress</w:t>
      </w:r>
    </w:p>
    <w:p w14:paraId="7A2B3FF5" w14:textId="40A5FA76" w:rsidR="000975F5" w:rsidRPr="003847E4" w:rsidRDefault="008A5824" w:rsidP="006A7287">
      <w:pPr>
        <w:pStyle w:val="BoxTextBullet"/>
        <w:keepNext/>
      </w:pPr>
      <w:r>
        <w:t>Inspector-</w:t>
      </w:r>
      <w:r w:rsidR="00C4179D">
        <w:t>g</w:t>
      </w:r>
      <w:r>
        <w:t>eneral’s assessment:</w:t>
      </w:r>
      <w:r w:rsidR="00AD7E81" w:rsidRPr="003847E4">
        <w:t xml:space="preserve"> Implemented – ongoing</w:t>
      </w:r>
    </w:p>
    <w:p w14:paraId="2636F3F0" w14:textId="77777777" w:rsidR="00266003" w:rsidRDefault="00266003" w:rsidP="006F553B">
      <w:pPr>
        <w:pStyle w:val="Heading4"/>
      </w:pPr>
      <w:r>
        <w:t>Department’s response: Support</w:t>
      </w:r>
    </w:p>
    <w:p w14:paraId="66D7444C" w14:textId="05268C69" w:rsidR="008E3B98" w:rsidRPr="008E3B98" w:rsidRDefault="008E3B98" w:rsidP="008E3B98">
      <w:r w:rsidRPr="008E3B98">
        <w:t>The ASEL review was completed in 2018</w:t>
      </w:r>
      <w:r w:rsidR="00F870BB">
        <w:t>–</w:t>
      </w:r>
      <w:r w:rsidRPr="008E3B98">
        <w:t xml:space="preserve">19. ASEL 3.0 </w:t>
      </w:r>
      <w:r w:rsidR="00C4179D">
        <w:t>was</w:t>
      </w:r>
      <w:r w:rsidRPr="008E3B98">
        <w:t xml:space="preserve"> implemented on 1 November 2020.</w:t>
      </w:r>
    </w:p>
    <w:p w14:paraId="6B64170F" w14:textId="008DE775" w:rsidR="008E3B98" w:rsidRPr="008E3B98" w:rsidRDefault="008E3B98" w:rsidP="008E3B98">
      <w:r w:rsidRPr="008E3B98">
        <w:t xml:space="preserve">The department is now committed to </w:t>
      </w:r>
      <w:r w:rsidR="002F5A7E">
        <w:t>3</w:t>
      </w:r>
      <w:r w:rsidRPr="008E3B98">
        <w:t xml:space="preserve">-yearly reviews of ASEL based on consultation, science, evidence and international best practice. The next review is scheduled to commence in </w:t>
      </w:r>
      <w:r w:rsidR="008939EB">
        <w:t>late 2022</w:t>
      </w:r>
      <w:r w:rsidRPr="008E3B98">
        <w:t>. The department will also review implementation issues and make adjustments</w:t>
      </w:r>
      <w:r w:rsidR="003847E4">
        <w:t xml:space="preserve"> on the standards</w:t>
      </w:r>
      <w:r w:rsidRPr="008E3B98">
        <w:t xml:space="preserve"> annual</w:t>
      </w:r>
      <w:r w:rsidR="00BC24D0">
        <w:t>ly,</w:t>
      </w:r>
      <w:r w:rsidRPr="008E3B98">
        <w:t xml:space="preserve"> as required. The department is working through methodology and approaches to the yearly update </w:t>
      </w:r>
      <w:r w:rsidR="00BC24D0">
        <w:t>and</w:t>
      </w:r>
      <w:r w:rsidRPr="008E3B98">
        <w:t xml:space="preserve"> prioritising any issues that occur. The department’s Animal Welfare Branch will lead this work.</w:t>
      </w:r>
    </w:p>
    <w:p w14:paraId="62A6AEEF" w14:textId="2142680F" w:rsidR="00055C41" w:rsidRDefault="00055C41" w:rsidP="006F553B">
      <w:pPr>
        <w:pStyle w:val="Heading4"/>
      </w:pPr>
      <w:r w:rsidRPr="00AD41FB">
        <w:t>Inspector-</w:t>
      </w:r>
      <w:r w:rsidR="00C4179D">
        <w:t>g</w:t>
      </w:r>
      <w:r w:rsidRPr="00AD41FB">
        <w:t>eneral assessment</w:t>
      </w:r>
    </w:p>
    <w:p w14:paraId="126FAC48" w14:textId="704BFE51" w:rsidR="008E3B98" w:rsidRPr="008E3B98" w:rsidRDefault="00E2364A" w:rsidP="008E3B98">
      <w:r>
        <w:t xml:space="preserve">The </w:t>
      </w:r>
      <w:r w:rsidR="001F3D9C">
        <w:t>i</w:t>
      </w:r>
      <w:r>
        <w:t>nspector-</w:t>
      </w:r>
      <w:r w:rsidR="001F3D9C">
        <w:t>g</w:t>
      </w:r>
      <w:r>
        <w:t xml:space="preserve">eneral notes the significant work undertaken by the department to review ASEL. </w:t>
      </w:r>
      <w:r w:rsidR="008E3B98" w:rsidRPr="008E3B98">
        <w:t xml:space="preserve">The ASEL 3.0 review </w:t>
      </w:r>
      <w:r w:rsidR="00811A5F">
        <w:t>took</w:t>
      </w:r>
      <w:r w:rsidR="008E3B98" w:rsidRPr="008E3B98">
        <w:t xml:space="preserve"> 3 years from commencement to implementation. The review </w:t>
      </w:r>
      <w:r w:rsidR="00FE7F5E">
        <w:t>appeared to follow</w:t>
      </w:r>
      <w:r w:rsidR="008E3B98" w:rsidRPr="008E3B98">
        <w:t xml:space="preserve"> a robust</w:t>
      </w:r>
      <w:r w:rsidR="002371B6">
        <w:t xml:space="preserve"> </w:t>
      </w:r>
      <w:r w:rsidR="008E3B98" w:rsidRPr="008E3B98">
        <w:t>process involving public submissions on an issues paper, analysis of submissions, release of draft recommendations for public comment</w:t>
      </w:r>
      <w:r w:rsidR="00FE7F5E">
        <w:t>,</w:t>
      </w:r>
      <w:r w:rsidR="008E3B98" w:rsidRPr="008E3B98">
        <w:t xml:space="preserve"> and delivery of a consultation report. The review was </w:t>
      </w:r>
      <w:r w:rsidR="00FE7F5E">
        <w:t>informed</w:t>
      </w:r>
      <w:r w:rsidR="008E3B98" w:rsidRPr="008E3B98">
        <w:t xml:space="preserve"> by a technical advisory committee </w:t>
      </w:r>
      <w:r w:rsidR="002371B6">
        <w:t xml:space="preserve">that </w:t>
      </w:r>
      <w:r w:rsidR="008E3B98" w:rsidRPr="008E3B98">
        <w:t>includ</w:t>
      </w:r>
      <w:r w:rsidR="002371B6">
        <w:t xml:space="preserve">ed </w:t>
      </w:r>
      <w:r w:rsidR="008E3B98" w:rsidRPr="008E3B98">
        <w:t>an independent chair and experts in animal health and welfare</w:t>
      </w:r>
      <w:r w:rsidR="00C83530">
        <w:t xml:space="preserve"> and</w:t>
      </w:r>
      <w:r w:rsidR="008E3B98" w:rsidRPr="008E3B98">
        <w:t xml:space="preserve"> regulatory design</w:t>
      </w:r>
      <w:r w:rsidR="002371B6">
        <w:t>,</w:t>
      </w:r>
      <w:r w:rsidR="008E3B98" w:rsidRPr="008E3B98">
        <w:t xml:space="preserve"> and the livestock industry.</w:t>
      </w:r>
    </w:p>
    <w:p w14:paraId="452ABB48" w14:textId="06CCDDA6" w:rsidR="00E77A71" w:rsidRDefault="008E3B98" w:rsidP="008E3B98">
      <w:r w:rsidRPr="008E3B98">
        <w:t xml:space="preserve">However, </w:t>
      </w:r>
      <w:r w:rsidR="00FE7F5E">
        <w:t>to repeat such</w:t>
      </w:r>
      <w:r w:rsidRPr="008E3B98">
        <w:t xml:space="preserve"> an extensive review process</w:t>
      </w:r>
      <w:r w:rsidR="00FE7F5E">
        <w:t xml:space="preserve"> on a 3</w:t>
      </w:r>
      <w:r w:rsidR="002F5A7E">
        <w:t>-</w:t>
      </w:r>
      <w:r w:rsidR="00FE7F5E">
        <w:t>yearly cycle</w:t>
      </w:r>
      <w:r w:rsidRPr="008E3B98">
        <w:t xml:space="preserve"> may be a barrier to </w:t>
      </w:r>
      <w:r w:rsidR="002371B6">
        <w:t xml:space="preserve">making timely </w:t>
      </w:r>
      <w:r w:rsidRPr="008E3B98">
        <w:t>improve</w:t>
      </w:r>
      <w:r w:rsidR="002371B6">
        <w:t xml:space="preserve">ments to </w:t>
      </w:r>
      <w:r w:rsidRPr="008E3B98">
        <w:t>animal welfare outcomes based on emerging science</w:t>
      </w:r>
      <w:r w:rsidR="00E77A71">
        <w:t>, improved practices,</w:t>
      </w:r>
      <w:r w:rsidRPr="008E3B98">
        <w:t xml:space="preserve"> or changes in international standards.</w:t>
      </w:r>
      <w:r w:rsidR="00FE7F5E">
        <w:t xml:space="preserve"> It may also be a barrier to identifying and rectifying any practical, operational or disproportionate consequences that emerge during implementation.</w:t>
      </w:r>
    </w:p>
    <w:p w14:paraId="52E1C87D" w14:textId="5A1DEC9E" w:rsidR="00E77A71" w:rsidRDefault="00F870BB" w:rsidP="00E77A71">
      <w:r>
        <w:t>I</w:t>
      </w:r>
      <w:r w:rsidR="00E77A71">
        <w:t>ndustry submissions to this review have raised</w:t>
      </w:r>
      <w:r w:rsidR="002371B6">
        <w:t xml:space="preserve"> </w:t>
      </w:r>
      <w:r w:rsidR="00E77A71">
        <w:t xml:space="preserve">concerns </w:t>
      </w:r>
      <w:r w:rsidR="002371B6">
        <w:t>about</w:t>
      </w:r>
      <w:r w:rsidR="00E77A71">
        <w:t xml:space="preserve"> practical and cost burden consequences that were not </w:t>
      </w:r>
      <w:r w:rsidR="001D3FBE">
        <w:t xml:space="preserve">fully </w:t>
      </w:r>
      <w:r w:rsidR="00E77A71">
        <w:t>identified u</w:t>
      </w:r>
      <w:r w:rsidR="00843F6A">
        <w:t>ntil implementation and</w:t>
      </w:r>
      <w:r w:rsidR="002371B6">
        <w:t xml:space="preserve"> that may</w:t>
      </w:r>
      <w:r w:rsidR="003421C2">
        <w:t xml:space="preserve"> not result in a proportionate, or in some instances </w:t>
      </w:r>
      <w:r w:rsidR="00843F6A">
        <w:t>well-</w:t>
      </w:r>
      <w:r w:rsidR="003421C2">
        <w:t>defined, improvement in animal health and welfare outcomes.</w:t>
      </w:r>
    </w:p>
    <w:p w14:paraId="613110B5" w14:textId="42F4D343" w:rsidR="008E3B98" w:rsidRDefault="008802A4" w:rsidP="008E3B98">
      <w:r>
        <w:t>T</w:t>
      </w:r>
      <w:r w:rsidRPr="008E3B98">
        <w:t xml:space="preserve">he </w:t>
      </w:r>
      <w:r w:rsidR="001F3D9C">
        <w:t>i</w:t>
      </w:r>
      <w:r w:rsidR="00055C41">
        <w:t>nspector-</w:t>
      </w:r>
      <w:r w:rsidR="001F3D9C">
        <w:t>g</w:t>
      </w:r>
      <w:r w:rsidR="00055C41">
        <w:t>eneral</w:t>
      </w:r>
      <w:r w:rsidR="00055C41" w:rsidRPr="008E3B98">
        <w:t xml:space="preserve"> </w:t>
      </w:r>
      <w:r>
        <w:t>recommends</w:t>
      </w:r>
      <w:r w:rsidRPr="008E3B98">
        <w:t xml:space="preserve"> that the department commit to an annual update</w:t>
      </w:r>
      <w:r>
        <w:t xml:space="preserve"> to ASEL.</w:t>
      </w:r>
      <w:r w:rsidDel="008802A4">
        <w:t xml:space="preserve"> </w:t>
      </w:r>
      <w:r>
        <w:t>This would</w:t>
      </w:r>
      <w:r w:rsidR="00E2364A">
        <w:t xml:space="preserve"> </w:t>
      </w:r>
      <w:r w:rsidR="008E3B98" w:rsidRPr="008E3B98">
        <w:t>accommodate any change</w:t>
      </w:r>
      <w:r>
        <w:t>s</w:t>
      </w:r>
      <w:r w:rsidR="008E3B98" w:rsidRPr="008E3B98">
        <w:t xml:space="preserve"> in science, evidence or international best practice</w:t>
      </w:r>
      <w:r w:rsidR="00094583">
        <w:t xml:space="preserve"> in a timely manner</w:t>
      </w:r>
      <w:r w:rsidR="00843F6A">
        <w:t>, and allow consideration of issues raised by industry</w:t>
      </w:r>
      <w:r>
        <w:t xml:space="preserve">. The </w:t>
      </w:r>
      <w:r w:rsidR="00843F6A">
        <w:t xml:space="preserve">annual </w:t>
      </w:r>
      <w:r>
        <w:t>update</w:t>
      </w:r>
      <w:r w:rsidR="00843F6A">
        <w:t xml:space="preserve"> w</w:t>
      </w:r>
      <w:r w:rsidR="00094583">
        <w:t>ould be</w:t>
      </w:r>
      <w:r w:rsidR="008E3B98" w:rsidRPr="008E3B98">
        <w:t xml:space="preserve"> an alternative to a full review every 3 years. </w:t>
      </w:r>
      <w:r>
        <w:t>In</w:t>
      </w:r>
      <w:r w:rsidRPr="008E3B98">
        <w:t xml:space="preserve"> consultation with stakeholders</w:t>
      </w:r>
      <w:r>
        <w:t>, t</w:t>
      </w:r>
      <w:r w:rsidR="008E3B98" w:rsidRPr="008E3B98">
        <w:t xml:space="preserve">he department could </w:t>
      </w:r>
      <w:r w:rsidR="00923817">
        <w:t xml:space="preserve">also </w:t>
      </w:r>
      <w:r w:rsidR="008E3B98" w:rsidRPr="008E3B98">
        <w:t>develop a priority list</w:t>
      </w:r>
      <w:r>
        <w:t xml:space="preserve"> </w:t>
      </w:r>
      <w:r w:rsidR="008E3B98" w:rsidRPr="008E3B98">
        <w:t xml:space="preserve">of issues for each annual review as part of an ongoing annual work program. This approach would also </w:t>
      </w:r>
      <w:r w:rsidR="00E77A71">
        <w:t xml:space="preserve">align with </w:t>
      </w:r>
      <w:r w:rsidR="006932ED">
        <w:t>Moss Review</w:t>
      </w:r>
      <w:r w:rsidR="008E3B98" w:rsidRPr="008E3B98">
        <w:t xml:space="preserve"> recommendation 6</w:t>
      </w:r>
      <w:r w:rsidR="00E77A71">
        <w:t>.</w:t>
      </w:r>
    </w:p>
    <w:p w14:paraId="7708ECDD" w14:textId="390E69D3" w:rsidR="00843F6A" w:rsidRPr="006F553B" w:rsidRDefault="00C951C3" w:rsidP="006F553B">
      <w:pPr>
        <w:pStyle w:val="BoxHeading"/>
        <w:keepNext/>
      </w:pPr>
      <w:r w:rsidRPr="006F553B">
        <w:lastRenderedPageBreak/>
        <w:t>Inspector</w:t>
      </w:r>
      <w:r w:rsidR="00C4179D" w:rsidRPr="006F553B">
        <w:t>-g</w:t>
      </w:r>
      <w:r w:rsidRPr="006F553B">
        <w:t xml:space="preserve">eneral </w:t>
      </w:r>
      <w:r w:rsidR="00905297" w:rsidRPr="006F553B">
        <w:t xml:space="preserve">recommendation </w:t>
      </w:r>
      <w:r w:rsidR="00843F6A" w:rsidRPr="006F553B">
        <w:t>1</w:t>
      </w:r>
    </w:p>
    <w:p w14:paraId="2C73CD3A" w14:textId="195474D4" w:rsidR="00843F6A" w:rsidRPr="006F553B" w:rsidRDefault="00843F6A" w:rsidP="006F553B">
      <w:pPr>
        <w:pStyle w:val="BoxText"/>
      </w:pPr>
      <w:r w:rsidRPr="006F553B">
        <w:t xml:space="preserve">The department should change from a </w:t>
      </w:r>
      <w:r w:rsidR="006F553B" w:rsidRPr="006F553B">
        <w:t>3</w:t>
      </w:r>
      <w:r w:rsidRPr="006F553B">
        <w:t xml:space="preserve"> year review of the Australian Standards for the Export of Livestock to an annual update of the standards to address emerging issues and advances in scientific knowledge and technology for improved animal welfare outcomes.  </w:t>
      </w:r>
    </w:p>
    <w:p w14:paraId="2822EE80" w14:textId="77777777" w:rsidR="00843F6A" w:rsidRDefault="00843F6A" w:rsidP="008E3B98"/>
    <w:p w14:paraId="54B879FD" w14:textId="45191A33" w:rsidR="00AD7E81" w:rsidRDefault="005E000E" w:rsidP="009C2EE8">
      <w:pPr>
        <w:pStyle w:val="BoxHeading"/>
        <w:keepNext/>
      </w:pPr>
      <w:r>
        <w:t xml:space="preserve">Moss </w:t>
      </w:r>
      <w:r w:rsidR="00103977">
        <w:t xml:space="preserve">Review </w:t>
      </w:r>
      <w:r>
        <w:t>r</w:t>
      </w:r>
      <w:r w:rsidR="008E3B98" w:rsidRPr="008E3B98">
        <w:t>ecommendation 6</w:t>
      </w:r>
    </w:p>
    <w:p w14:paraId="325AE5B1" w14:textId="1852BC98" w:rsidR="008E3B98" w:rsidRDefault="008E3B98" w:rsidP="00AD7E81">
      <w:pPr>
        <w:pStyle w:val="BoxText"/>
      </w:pPr>
      <w:r w:rsidRPr="008E3B98">
        <w:t xml:space="preserve">That the department </w:t>
      </w:r>
      <w:r w:rsidR="00F21ABF">
        <w:t xml:space="preserve">develop a regulatory </w:t>
      </w:r>
      <w:r w:rsidRPr="008E3B98">
        <w:t>approach which fosters and incorporates scientific best practice to ensure continual improvements in animal welfare outcomes for live animal exports.</w:t>
      </w:r>
    </w:p>
    <w:p w14:paraId="698C397F" w14:textId="206B8330" w:rsidR="00AD7E81" w:rsidRPr="003847E4" w:rsidRDefault="00AD7E81" w:rsidP="003847E4">
      <w:pPr>
        <w:pStyle w:val="BoxText"/>
        <w:keepNext/>
        <w:rPr>
          <w:b/>
          <w:bCs/>
        </w:rPr>
      </w:pPr>
      <w:r w:rsidRPr="008E3402">
        <w:rPr>
          <w:rStyle w:val="Strong"/>
        </w:rPr>
        <w:t>Implementation status</w:t>
      </w:r>
    </w:p>
    <w:p w14:paraId="642A8D64" w14:textId="657E3B08" w:rsidR="008E3B98" w:rsidRPr="003847E4" w:rsidRDefault="008E3B98" w:rsidP="003847E4">
      <w:pPr>
        <w:pStyle w:val="BoxTextBullet"/>
      </w:pPr>
      <w:r w:rsidRPr="003847E4">
        <w:t xml:space="preserve">Department’s </w:t>
      </w:r>
      <w:r w:rsidR="00AD7E81">
        <w:t>assessment</w:t>
      </w:r>
      <w:r w:rsidRPr="003847E4">
        <w:t>: Ongoing</w:t>
      </w:r>
      <w:r w:rsidR="00C1688A">
        <w:t xml:space="preserve"> </w:t>
      </w:r>
    </w:p>
    <w:p w14:paraId="123ACDCE" w14:textId="6BBFBFAB" w:rsidR="00AD7E81" w:rsidRPr="003847E4" w:rsidRDefault="008A5824" w:rsidP="003847E4">
      <w:pPr>
        <w:pStyle w:val="BoxTextBullet"/>
      </w:pPr>
      <w:r>
        <w:t>Inspector-</w:t>
      </w:r>
      <w:r w:rsidR="00C4179D">
        <w:t>g</w:t>
      </w:r>
      <w:r>
        <w:t>eneral’s assessment:</w:t>
      </w:r>
      <w:r w:rsidR="00AD7E81" w:rsidRPr="003847E4">
        <w:t xml:space="preserve"> In progress</w:t>
      </w:r>
    </w:p>
    <w:p w14:paraId="692FD5B5" w14:textId="77777777" w:rsidR="00266003" w:rsidRDefault="00266003" w:rsidP="006F553B">
      <w:pPr>
        <w:pStyle w:val="Heading4"/>
      </w:pPr>
      <w:r>
        <w:t>Department’s response: Support</w:t>
      </w:r>
    </w:p>
    <w:p w14:paraId="4F7F2A37" w14:textId="6B265F03" w:rsidR="008E3B98" w:rsidRPr="008E3B98" w:rsidRDefault="008E3B98" w:rsidP="008E3B98">
      <w:r w:rsidRPr="008E3B98">
        <w:t xml:space="preserve">The department continues to ensure </w:t>
      </w:r>
      <w:r w:rsidR="009355C6">
        <w:t xml:space="preserve">it takes </w:t>
      </w:r>
      <w:r w:rsidRPr="008E3B98">
        <w:t>a robust, science-based approach to regulating live animal exports.</w:t>
      </w:r>
    </w:p>
    <w:p w14:paraId="5C83679B" w14:textId="42C99F15" w:rsidR="008E3B98" w:rsidRPr="008E3B98" w:rsidRDefault="008E3B98" w:rsidP="008E3B98">
      <w:r w:rsidRPr="008E3B98">
        <w:t xml:space="preserve">The Animal Welfare Branch works closely with </w:t>
      </w:r>
      <w:r w:rsidR="008802A4">
        <w:t xml:space="preserve">the </w:t>
      </w:r>
      <w:r w:rsidRPr="008E3B98">
        <w:t>L</w:t>
      </w:r>
      <w:r w:rsidR="00A31661">
        <w:t xml:space="preserve">ive </w:t>
      </w:r>
      <w:r w:rsidRPr="008E3B98">
        <w:t>A</w:t>
      </w:r>
      <w:r w:rsidR="00A31661">
        <w:t xml:space="preserve">nimal </w:t>
      </w:r>
      <w:r w:rsidRPr="008E3B98">
        <w:t>E</w:t>
      </w:r>
      <w:r w:rsidR="00A31661">
        <w:t>xport</w:t>
      </w:r>
      <w:r w:rsidRPr="008E3B98">
        <w:t xml:space="preserve"> </w:t>
      </w:r>
      <w:r w:rsidR="00A31661">
        <w:t>B</w:t>
      </w:r>
      <w:r w:rsidRPr="008E3B98">
        <w:t xml:space="preserve">ranch and the </w:t>
      </w:r>
      <w:r w:rsidR="00D73B9B">
        <w:t>Veterinary and Export Meat</w:t>
      </w:r>
      <w:r w:rsidR="00F77C91">
        <w:t xml:space="preserve"> Branch’s</w:t>
      </w:r>
      <w:r w:rsidR="00D73B9B">
        <w:t xml:space="preserve"> </w:t>
      </w:r>
      <w:r w:rsidR="00F77C91">
        <w:t>i</w:t>
      </w:r>
      <w:r w:rsidRPr="008E3B98">
        <w:t xml:space="preserve">ndependent </w:t>
      </w:r>
      <w:r w:rsidR="00F77C91">
        <w:t>o</w:t>
      </w:r>
      <w:r w:rsidRPr="008E3B98">
        <w:t xml:space="preserve">bserver </w:t>
      </w:r>
      <w:r w:rsidR="00F77C91">
        <w:t>program</w:t>
      </w:r>
      <w:r w:rsidR="00F77C91" w:rsidRPr="008E3B98">
        <w:t xml:space="preserve"> </w:t>
      </w:r>
      <w:r w:rsidRPr="008E3B98">
        <w:t>on operational aspects of data collection and analysis.</w:t>
      </w:r>
    </w:p>
    <w:p w14:paraId="382A872A" w14:textId="3EA28F36" w:rsidR="008E3B98" w:rsidRPr="008E3B98" w:rsidRDefault="008E3B98" w:rsidP="008E3B98">
      <w:r w:rsidRPr="008E3B98">
        <w:t xml:space="preserve">The </w:t>
      </w:r>
      <w:r w:rsidRPr="00C4179D">
        <w:t>veterinarian-led analysis team in the A</w:t>
      </w:r>
      <w:r w:rsidR="00C51D98" w:rsidRPr="00C4179D">
        <w:t xml:space="preserve">nimal </w:t>
      </w:r>
      <w:r w:rsidRPr="00C4179D">
        <w:t>W</w:t>
      </w:r>
      <w:r w:rsidR="00C51D98" w:rsidRPr="00C4179D">
        <w:t xml:space="preserve">elfare </w:t>
      </w:r>
      <w:r w:rsidRPr="00C4179D">
        <w:t>B</w:t>
      </w:r>
      <w:r w:rsidR="00C51D98" w:rsidRPr="00C4179D">
        <w:t>ranch</w:t>
      </w:r>
      <w:r w:rsidRPr="008E3B98">
        <w:t xml:space="preserve"> has </w:t>
      </w:r>
      <w:r w:rsidR="009355C6">
        <w:t>increased</w:t>
      </w:r>
      <w:r w:rsidR="009355C6" w:rsidRPr="008E3B98">
        <w:t xml:space="preserve"> </w:t>
      </w:r>
      <w:r w:rsidRPr="008E3B98">
        <w:t>the department’s access to evidence-based and up-to-date decision-making tools</w:t>
      </w:r>
      <w:r w:rsidR="008802A4">
        <w:t>. This will help</w:t>
      </w:r>
      <w:r w:rsidRPr="008E3B98">
        <w:t xml:space="preserve"> ensure policy and regulation are responsive to changes in animal welfare outcomes. The team has a program of monitoring voyages and analysing the outcomes in terms of animal welfare, morbidity and mortality. Analysis is used in </w:t>
      </w:r>
      <w:r w:rsidR="005E000E">
        <w:t>decision-mak</w:t>
      </w:r>
      <w:r w:rsidRPr="008E3B98">
        <w:t>ing and shared with internal and external stakeholders as appropriate.</w:t>
      </w:r>
    </w:p>
    <w:p w14:paraId="529038A3" w14:textId="70648649" w:rsidR="008E3B98" w:rsidRPr="008E3B98" w:rsidRDefault="008E3B98" w:rsidP="008E3B98">
      <w:r w:rsidRPr="008E3B98">
        <w:t xml:space="preserve">The </w:t>
      </w:r>
      <w:r w:rsidR="00304D70">
        <w:t>A</w:t>
      </w:r>
      <w:r w:rsidR="00C51D98">
        <w:t xml:space="preserve">nimal </w:t>
      </w:r>
      <w:r w:rsidR="00304D70">
        <w:t>W</w:t>
      </w:r>
      <w:r w:rsidR="00C51D98">
        <w:t xml:space="preserve">elfare </w:t>
      </w:r>
      <w:r w:rsidR="00304D70">
        <w:t>B</w:t>
      </w:r>
      <w:r w:rsidR="00C51D98">
        <w:t>ranch</w:t>
      </w:r>
      <w:r w:rsidRPr="008E3B98">
        <w:t xml:space="preserve"> </w:t>
      </w:r>
      <w:r w:rsidR="0023040E">
        <w:t xml:space="preserve">now </w:t>
      </w:r>
      <w:r w:rsidRPr="008E3B98">
        <w:t>work</w:t>
      </w:r>
      <w:r w:rsidR="0023040E">
        <w:t>s</w:t>
      </w:r>
      <w:r w:rsidRPr="008E3B98">
        <w:t xml:space="preserve"> </w:t>
      </w:r>
      <w:r w:rsidR="0023040E">
        <w:t xml:space="preserve">closely </w:t>
      </w:r>
      <w:r w:rsidRPr="008E3B98">
        <w:t xml:space="preserve">with the Bureau of </w:t>
      </w:r>
      <w:r w:rsidRPr="0023040E">
        <w:t>Meteorology</w:t>
      </w:r>
      <w:r w:rsidR="0023040E" w:rsidRPr="001050E1">
        <w:t xml:space="preserve"> to determine</w:t>
      </w:r>
      <w:r w:rsidRPr="008E3B98">
        <w:t xml:space="preserve"> forecast conditions for voyages and prevailing conditions in export ports.</w:t>
      </w:r>
    </w:p>
    <w:p w14:paraId="01D9B204" w14:textId="2C399852" w:rsidR="008E3B98" w:rsidRPr="008E3B98" w:rsidRDefault="008E3B98" w:rsidP="008E3B98">
      <w:r w:rsidRPr="008E3B98">
        <w:t>Advice from the A</w:t>
      </w:r>
      <w:r w:rsidR="00C51D98">
        <w:t xml:space="preserve">nimal </w:t>
      </w:r>
      <w:r w:rsidRPr="008E3B98">
        <w:t>W</w:t>
      </w:r>
      <w:r w:rsidR="00C51D98">
        <w:t xml:space="preserve">elfare </w:t>
      </w:r>
      <w:r w:rsidRPr="008E3B98">
        <w:t>B</w:t>
      </w:r>
      <w:r w:rsidR="00C51D98">
        <w:t>ranch</w:t>
      </w:r>
      <w:r w:rsidRPr="008E3B98">
        <w:t xml:space="preserve"> </w:t>
      </w:r>
      <w:r w:rsidR="009355C6" w:rsidRPr="008E3B98">
        <w:t xml:space="preserve">helped inform </w:t>
      </w:r>
      <w:r w:rsidR="009355C6">
        <w:t xml:space="preserve">the </w:t>
      </w:r>
      <w:r w:rsidR="009355C6" w:rsidRPr="008E3B98">
        <w:t xml:space="preserve">department’s </w:t>
      </w:r>
      <w:r w:rsidR="009355C6">
        <w:t xml:space="preserve">decision to </w:t>
      </w:r>
      <w:r w:rsidR="009355C6" w:rsidRPr="008E3B98">
        <w:t>grant an exemption for the Al Kuwait under exceptional circumstances.</w:t>
      </w:r>
      <w:r w:rsidR="009355C6">
        <w:t xml:space="preserve"> The advice was </w:t>
      </w:r>
      <w:r w:rsidRPr="008E3B98">
        <w:t xml:space="preserve">based on data from </w:t>
      </w:r>
      <w:r w:rsidR="009355C6" w:rsidRPr="008E3B98">
        <w:t>sheep export voyages</w:t>
      </w:r>
      <w:r w:rsidR="009355C6" w:rsidRPr="008E3B98" w:rsidDel="009355C6">
        <w:t xml:space="preserve"> </w:t>
      </w:r>
      <w:r w:rsidR="009355C6">
        <w:t xml:space="preserve">in </w:t>
      </w:r>
      <w:r w:rsidRPr="008E3B98">
        <w:t xml:space="preserve">May 2019 and 2020, including environmental monitoring and </w:t>
      </w:r>
      <w:r w:rsidR="006D4C07">
        <w:t>independent observer</w:t>
      </w:r>
      <w:r w:rsidRPr="008E3B98">
        <w:t>-collected videos and observations</w:t>
      </w:r>
      <w:r w:rsidR="009355C6">
        <w:t>.</w:t>
      </w:r>
    </w:p>
    <w:p w14:paraId="178EED0B" w14:textId="429F4AF7" w:rsidR="008E3B98" w:rsidRPr="0023040E" w:rsidRDefault="008E3B98" w:rsidP="008E3B98">
      <w:r w:rsidRPr="0023040E">
        <w:t>A representative from the A</w:t>
      </w:r>
      <w:r w:rsidR="00C51D98" w:rsidRPr="0023040E">
        <w:t xml:space="preserve">nimal </w:t>
      </w:r>
      <w:r w:rsidRPr="0023040E">
        <w:t>W</w:t>
      </w:r>
      <w:r w:rsidR="00C51D98" w:rsidRPr="0023040E">
        <w:t xml:space="preserve">elfare </w:t>
      </w:r>
      <w:r w:rsidRPr="0023040E">
        <w:t>B</w:t>
      </w:r>
      <w:r w:rsidR="00C51D98" w:rsidRPr="0023040E">
        <w:t>ranch</w:t>
      </w:r>
      <w:r w:rsidRPr="0023040E">
        <w:t xml:space="preserve"> has joined industry’s Livestock Export Research and Development Advisory Committee as an observer.</w:t>
      </w:r>
    </w:p>
    <w:p w14:paraId="61286B34" w14:textId="1FA02653" w:rsidR="008E3B98" w:rsidRPr="008E3B98" w:rsidRDefault="008E3B98" w:rsidP="008E3B98">
      <w:r w:rsidRPr="0023040E">
        <w:t xml:space="preserve">Animal welfare issues identified by </w:t>
      </w:r>
      <w:r w:rsidR="00C51D98" w:rsidRPr="0023040E">
        <w:t xml:space="preserve">Veterinary and </w:t>
      </w:r>
      <w:r w:rsidRPr="0023040E">
        <w:t>E</w:t>
      </w:r>
      <w:r w:rsidR="00C51D98" w:rsidRPr="0023040E">
        <w:t xml:space="preserve">xport </w:t>
      </w:r>
      <w:r w:rsidRPr="0023040E">
        <w:t>M</w:t>
      </w:r>
      <w:r w:rsidR="00C51D98" w:rsidRPr="0023040E">
        <w:t xml:space="preserve">eat </w:t>
      </w:r>
      <w:r w:rsidR="00FD3E0E">
        <w:t>Branch</w:t>
      </w:r>
      <w:r w:rsidR="00FD3E0E" w:rsidRPr="0023040E">
        <w:t xml:space="preserve"> </w:t>
      </w:r>
      <w:r w:rsidRPr="0023040E">
        <w:t>staff during inspections are raised with the exporter and reported in the Livestock Export Consignment Report.</w:t>
      </w:r>
    </w:p>
    <w:p w14:paraId="66A5A12D" w14:textId="3FDDBCF6" w:rsidR="008E3B98" w:rsidRPr="008E3B98" w:rsidRDefault="008E3B98" w:rsidP="008E3B98">
      <w:r w:rsidRPr="008E3B98">
        <w:t xml:space="preserve">Independent </w:t>
      </w:r>
      <w:r w:rsidRPr="00C4179D">
        <w:t>observers</w:t>
      </w:r>
      <w:r w:rsidRPr="008E3B98">
        <w:t xml:space="preserve"> provide observations against A</w:t>
      </w:r>
      <w:r w:rsidR="001050E1">
        <w:t>SEL</w:t>
      </w:r>
      <w:r w:rsidRPr="008E3B98">
        <w:t xml:space="preserve"> and report </w:t>
      </w:r>
      <w:r w:rsidR="003421C2" w:rsidRPr="008E3B98">
        <w:t>on-board</w:t>
      </w:r>
      <w:r w:rsidRPr="008E3B98">
        <w:t xml:space="preserve"> conditions and animal management practice</w:t>
      </w:r>
      <w:r w:rsidR="0023040E">
        <w:t>s</w:t>
      </w:r>
      <w:r w:rsidR="00947E2F">
        <w:t>.</w:t>
      </w:r>
      <w:r w:rsidRPr="008E3B98">
        <w:t xml:space="preserve"> </w:t>
      </w:r>
      <w:r w:rsidR="00947E2F">
        <w:t>This data helps</w:t>
      </w:r>
      <w:r w:rsidRPr="008E3B98">
        <w:t xml:space="preserve"> the A</w:t>
      </w:r>
      <w:r w:rsidR="00C51D98">
        <w:t xml:space="preserve">nimal </w:t>
      </w:r>
      <w:r w:rsidRPr="008E3B98">
        <w:t>W</w:t>
      </w:r>
      <w:r w:rsidR="00C51D98">
        <w:t xml:space="preserve">elfare </w:t>
      </w:r>
      <w:r w:rsidRPr="008E3B98">
        <w:t>B</w:t>
      </w:r>
      <w:r w:rsidR="00C51D98">
        <w:t>ranch</w:t>
      </w:r>
      <w:r w:rsidRPr="008E3B98">
        <w:t xml:space="preserve"> build information holdings to assess improvements in animal welfare outcomes. I</w:t>
      </w:r>
      <w:r w:rsidR="00D73B9B">
        <w:t xml:space="preserve">ndependent </w:t>
      </w:r>
      <w:r w:rsidR="00D73B9B" w:rsidRPr="00596787">
        <w:t>observers</w:t>
      </w:r>
      <w:r w:rsidRPr="00596787">
        <w:t xml:space="preserve"> tri</w:t>
      </w:r>
      <w:r w:rsidRPr="008E3B98">
        <w:t xml:space="preserve">al </w:t>
      </w:r>
      <w:r w:rsidRPr="008E3B98">
        <w:lastRenderedPageBreak/>
        <w:t xml:space="preserve">technology and tools to gather objective data </w:t>
      </w:r>
      <w:r w:rsidR="00947E2F">
        <w:t>that</w:t>
      </w:r>
      <w:r w:rsidRPr="008E3B98">
        <w:t xml:space="preserve"> support</w:t>
      </w:r>
      <w:r w:rsidR="00947E2F">
        <w:t>s</w:t>
      </w:r>
      <w:r w:rsidRPr="008E3B98">
        <w:t xml:space="preserve"> scientific analysis and methodologies.</w:t>
      </w:r>
    </w:p>
    <w:p w14:paraId="67640B48" w14:textId="12319DDE" w:rsidR="00055C41" w:rsidRDefault="00055C41" w:rsidP="006F553B">
      <w:pPr>
        <w:pStyle w:val="Heading4"/>
      </w:pPr>
      <w:r w:rsidRPr="00AD41FB">
        <w:t>Inspector-</w:t>
      </w:r>
      <w:r w:rsidR="001C34C8">
        <w:t>g</w:t>
      </w:r>
      <w:r w:rsidRPr="00AD41FB">
        <w:t>eneral</w:t>
      </w:r>
      <w:r w:rsidR="009F5251" w:rsidRPr="00AD41FB">
        <w:t xml:space="preserve"> assessment</w:t>
      </w:r>
    </w:p>
    <w:p w14:paraId="5B5C8A99" w14:textId="14ACBDEA" w:rsidR="00830701" w:rsidRDefault="008E3B98" w:rsidP="008E3B98">
      <w:r w:rsidRPr="008E3B98">
        <w:t xml:space="preserve">The </w:t>
      </w:r>
      <w:r w:rsidR="00F32FCC">
        <w:t>i</w:t>
      </w:r>
      <w:r w:rsidR="00E2364A">
        <w:t>nspector-</w:t>
      </w:r>
      <w:r w:rsidR="00F32FCC">
        <w:t>g</w:t>
      </w:r>
      <w:r w:rsidR="00E2364A">
        <w:t xml:space="preserve">eneral commends the </w:t>
      </w:r>
      <w:r w:rsidRPr="008E3B98">
        <w:t>departme</w:t>
      </w:r>
      <w:r w:rsidR="00E2364A">
        <w:t xml:space="preserve">nt </w:t>
      </w:r>
      <w:r w:rsidRPr="008E3B98">
        <w:t>for its increased technical capability</w:t>
      </w:r>
      <w:r w:rsidR="003421C2">
        <w:t>,</w:t>
      </w:r>
      <w:r w:rsidRPr="008E3B98">
        <w:t xml:space="preserve"> and relationship building with other technical agencies and organisations. </w:t>
      </w:r>
      <w:r w:rsidR="003421C2">
        <w:t xml:space="preserve">However, the </w:t>
      </w:r>
      <w:r w:rsidR="00F32FCC">
        <w:t>i</w:t>
      </w:r>
      <w:r w:rsidR="001D3FBE">
        <w:t>nspector-</w:t>
      </w:r>
      <w:r w:rsidR="00F32FCC">
        <w:t>g</w:t>
      </w:r>
      <w:r w:rsidR="001D3FBE">
        <w:t>eneral</w:t>
      </w:r>
      <w:r w:rsidR="003421C2">
        <w:t xml:space="preserve"> is concerned that </w:t>
      </w:r>
      <w:r w:rsidR="00947E2F">
        <w:t xml:space="preserve">ongoing and </w:t>
      </w:r>
      <w:r w:rsidR="003421C2">
        <w:t xml:space="preserve">adequate resourcing </w:t>
      </w:r>
      <w:r w:rsidR="00947E2F">
        <w:t xml:space="preserve">of </w:t>
      </w:r>
      <w:r w:rsidR="003421C2">
        <w:t xml:space="preserve">what are often viewed as back-of-house capability and capacity functions often comes under pressure from departmental efficiency measures. </w:t>
      </w:r>
      <w:r w:rsidR="00947E2F">
        <w:t>In</w:t>
      </w:r>
      <w:r w:rsidR="003421C2">
        <w:t xml:space="preserve"> the long</w:t>
      </w:r>
      <w:r w:rsidR="00947E2F">
        <w:t>-</w:t>
      </w:r>
      <w:r w:rsidR="003421C2">
        <w:t>term</w:t>
      </w:r>
      <w:r w:rsidR="00947E2F">
        <w:t>, this</w:t>
      </w:r>
      <w:r w:rsidR="003421C2">
        <w:t xml:space="preserve"> diminish</w:t>
      </w:r>
      <w:r w:rsidR="00947E2F">
        <w:t>es</w:t>
      </w:r>
      <w:r w:rsidR="003421C2">
        <w:t xml:space="preserve"> effectiveness and is a major barrier to </w:t>
      </w:r>
      <w:r w:rsidR="00947E2F">
        <w:t>the</w:t>
      </w:r>
      <w:r w:rsidR="003421C2">
        <w:t xml:space="preserve"> deliver</w:t>
      </w:r>
      <w:r w:rsidR="00947E2F">
        <w:t>y of</w:t>
      </w:r>
      <w:r w:rsidR="003421C2">
        <w:t xml:space="preserve"> sustainable efficiency through improved modern regulatory practice.</w:t>
      </w:r>
    </w:p>
    <w:p w14:paraId="59A798BA" w14:textId="25B0DB1C" w:rsidR="008E3B98" w:rsidRDefault="008E3B98" w:rsidP="008E3B98">
      <w:r w:rsidRPr="008E3B98">
        <w:t xml:space="preserve">The department should commit ongoing resources </w:t>
      </w:r>
      <w:r w:rsidR="001D3FBE">
        <w:t>for the</w:t>
      </w:r>
      <w:r w:rsidRPr="008E3B98">
        <w:t xml:space="preserve"> development of in-house technical capability and capacity</w:t>
      </w:r>
      <w:r w:rsidR="00A808E6">
        <w:t>. The</w:t>
      </w:r>
      <w:r w:rsidR="00C51D98">
        <w:t xml:space="preserve"> department</w:t>
      </w:r>
      <w:r w:rsidR="00A808E6">
        <w:t xml:space="preserve"> should</w:t>
      </w:r>
      <w:r w:rsidR="003421C2">
        <w:t xml:space="preserve"> rely on improvements in regulatory practice, including investment in IT technology, to deliver </w:t>
      </w:r>
      <w:r w:rsidR="00E2364A">
        <w:t xml:space="preserve">necessary </w:t>
      </w:r>
      <w:r w:rsidR="003421C2">
        <w:t>efficiencies.</w:t>
      </w:r>
      <w:r w:rsidR="000E60C2">
        <w:t xml:space="preserve"> There may also be opportunities for the department to </w:t>
      </w:r>
      <w:r w:rsidR="00947E2F">
        <w:t xml:space="preserve">build </w:t>
      </w:r>
      <w:r w:rsidR="000E60C2">
        <w:t xml:space="preserve">capacity and efficiency in </w:t>
      </w:r>
      <w:r w:rsidR="00115530">
        <w:t xml:space="preserve">the </w:t>
      </w:r>
      <w:r w:rsidR="00997D52">
        <w:t>A</w:t>
      </w:r>
      <w:r w:rsidR="000E60C2">
        <w:t xml:space="preserve">nimal </w:t>
      </w:r>
      <w:r w:rsidR="00997D52">
        <w:t>W</w:t>
      </w:r>
      <w:r w:rsidR="000E60C2">
        <w:t>elfare</w:t>
      </w:r>
      <w:r w:rsidR="00997D52">
        <w:t xml:space="preserve"> Branch</w:t>
      </w:r>
      <w:r w:rsidR="000E60C2">
        <w:t xml:space="preserve"> through increased functional alignment with other areas of the department that work in the animal welfare sphere.</w:t>
      </w:r>
    </w:p>
    <w:p w14:paraId="35ABC5D0" w14:textId="5FE6FB62" w:rsidR="00AD7E81" w:rsidRDefault="005E000E" w:rsidP="001050E1">
      <w:pPr>
        <w:pStyle w:val="BoxHeading"/>
      </w:pPr>
      <w:r>
        <w:t xml:space="preserve">Moss </w:t>
      </w:r>
      <w:r w:rsidR="00103977">
        <w:t xml:space="preserve">Review </w:t>
      </w:r>
      <w:r>
        <w:t>r</w:t>
      </w:r>
      <w:r w:rsidR="008E3B98" w:rsidRPr="008E3B98">
        <w:t>ecommendation 28</w:t>
      </w:r>
    </w:p>
    <w:p w14:paraId="0D9B0618" w14:textId="3B46C99A" w:rsidR="008E3B98" w:rsidRDefault="008E3B98" w:rsidP="00AD7E81">
      <w:pPr>
        <w:pStyle w:val="BoxText"/>
      </w:pPr>
      <w:r w:rsidRPr="008E3B98">
        <w:t>That the department engage with the live animal export industry to demonstrate joint unequivocal commitment to animal welfare.</w:t>
      </w:r>
    </w:p>
    <w:p w14:paraId="57D73590" w14:textId="77F3DD7C" w:rsidR="00AD7E81" w:rsidRPr="001050E1" w:rsidRDefault="00AD7E81" w:rsidP="001050E1">
      <w:pPr>
        <w:pStyle w:val="BoxText"/>
        <w:keepNext/>
        <w:rPr>
          <w:b/>
          <w:bCs/>
        </w:rPr>
      </w:pPr>
      <w:r w:rsidRPr="008E3402">
        <w:rPr>
          <w:rStyle w:val="Strong"/>
        </w:rPr>
        <w:t>Implementation status</w:t>
      </w:r>
    </w:p>
    <w:p w14:paraId="0F457720" w14:textId="4510B637" w:rsidR="008E3B98" w:rsidRPr="001050E1" w:rsidRDefault="008E3B98" w:rsidP="001050E1">
      <w:pPr>
        <w:pStyle w:val="BoxTextBullet"/>
      </w:pPr>
      <w:r w:rsidRPr="001050E1">
        <w:t xml:space="preserve">Department’s </w:t>
      </w:r>
      <w:r w:rsidR="00AD7E81">
        <w:t>assessment</w:t>
      </w:r>
      <w:r w:rsidRPr="001050E1">
        <w:t>: Ongoing</w:t>
      </w:r>
      <w:r w:rsidR="00C1688A">
        <w:t xml:space="preserve"> </w:t>
      </w:r>
    </w:p>
    <w:p w14:paraId="6D341AA6" w14:textId="78F1477F" w:rsidR="00AD7E81" w:rsidRPr="001050E1" w:rsidRDefault="008A5824" w:rsidP="001050E1">
      <w:pPr>
        <w:pStyle w:val="BoxTextBullet"/>
      </w:pPr>
      <w:r>
        <w:t>Inspector-</w:t>
      </w:r>
      <w:r w:rsidR="00AA767B">
        <w:t>g</w:t>
      </w:r>
      <w:r>
        <w:t>eneral’s assessment:</w:t>
      </w:r>
      <w:r w:rsidR="00AD7E81" w:rsidRPr="001050E1">
        <w:t xml:space="preserve"> </w:t>
      </w:r>
      <w:r w:rsidR="00F32FCC">
        <w:t>Implemented - o</w:t>
      </w:r>
      <w:r w:rsidR="00AD7E81" w:rsidRPr="001050E1">
        <w:t>ngoing</w:t>
      </w:r>
    </w:p>
    <w:p w14:paraId="61916171" w14:textId="77777777" w:rsidR="00266003" w:rsidRDefault="00266003" w:rsidP="006F553B">
      <w:pPr>
        <w:pStyle w:val="Heading4"/>
      </w:pPr>
      <w:r>
        <w:t>Department’s response: Support in principle</w:t>
      </w:r>
    </w:p>
    <w:p w14:paraId="76F7C723" w14:textId="5007BC74" w:rsidR="008E3B98" w:rsidRPr="008E3B98" w:rsidRDefault="008E3B98" w:rsidP="008E3B98">
      <w:r w:rsidRPr="008E3B98">
        <w:t>The department meets with live</w:t>
      </w:r>
      <w:r w:rsidR="00BC047D">
        <w:t>stock</w:t>
      </w:r>
      <w:r w:rsidRPr="008E3B98">
        <w:t xml:space="preserve"> exporters </w:t>
      </w:r>
      <w:r w:rsidR="00BC047D">
        <w:t>regularly</w:t>
      </w:r>
      <w:r w:rsidR="00BC047D" w:rsidRPr="008E3B98">
        <w:t xml:space="preserve"> </w:t>
      </w:r>
      <w:r w:rsidRPr="008E3B98">
        <w:t>to discuss matters related to the daily operations of live animal exports</w:t>
      </w:r>
      <w:r w:rsidR="00BC047D">
        <w:t>,</w:t>
      </w:r>
      <w:r w:rsidRPr="008E3B98">
        <w:t xml:space="preserve"> </w:t>
      </w:r>
      <w:r w:rsidR="00947E2F">
        <w:t>trade</w:t>
      </w:r>
      <w:r w:rsidRPr="008E3B98">
        <w:t xml:space="preserve"> regulation</w:t>
      </w:r>
      <w:r w:rsidR="00BC047D" w:rsidRPr="00BC047D">
        <w:t>, and is providing a regular newsletter</w:t>
      </w:r>
      <w:r w:rsidR="00BC047D">
        <w:t>.</w:t>
      </w:r>
    </w:p>
    <w:p w14:paraId="71FCD643" w14:textId="74CB5CEE" w:rsidR="008E3B98" w:rsidRPr="008E3B98" w:rsidRDefault="008E3B98" w:rsidP="008E3B98">
      <w:r w:rsidRPr="008E3B98">
        <w:t>The department uses a range of other forums</w:t>
      </w:r>
      <w:r w:rsidR="00DE15E5">
        <w:t xml:space="preserve"> </w:t>
      </w:r>
      <w:r w:rsidR="00DE15E5" w:rsidRPr="008E3B98">
        <w:t xml:space="preserve">to meet with exporters individually and collectively to discuss regulatory changes and improvements, including </w:t>
      </w:r>
      <w:r w:rsidR="00DE15E5">
        <w:t>those</w:t>
      </w:r>
      <w:r w:rsidR="00DE15E5" w:rsidRPr="008E3B98">
        <w:t xml:space="preserve"> relat</w:t>
      </w:r>
      <w:r w:rsidR="00DE15E5">
        <w:t>ing</w:t>
      </w:r>
      <w:r w:rsidR="00DE15E5" w:rsidRPr="008E3B98">
        <w:t xml:space="preserve"> to animal welfare.</w:t>
      </w:r>
      <w:r w:rsidR="00DE15E5">
        <w:t xml:space="preserve"> </w:t>
      </w:r>
      <w:r w:rsidR="00F44D21">
        <w:t>One of these forums is</w:t>
      </w:r>
      <w:r w:rsidRPr="008E3B98">
        <w:t xml:space="preserve"> </w:t>
      </w:r>
      <w:proofErr w:type="spellStart"/>
      <w:r w:rsidR="00947E2F">
        <w:t>LIVEXchange</w:t>
      </w:r>
      <w:proofErr w:type="spellEnd"/>
      <w:r w:rsidR="00947E2F">
        <w:t xml:space="preserve">, the annual conference hosted by </w:t>
      </w:r>
      <w:r w:rsidRPr="008E3B98">
        <w:t xml:space="preserve">LiveCorp and </w:t>
      </w:r>
      <w:r w:rsidR="00947E2F">
        <w:t xml:space="preserve">the </w:t>
      </w:r>
      <w:r w:rsidR="00947E2F" w:rsidRPr="00947E2F">
        <w:t xml:space="preserve">Australian Livestock Exporters’ </w:t>
      </w:r>
      <w:r w:rsidR="00947E2F" w:rsidRPr="00DE15E5">
        <w:t>Council</w:t>
      </w:r>
      <w:r w:rsidR="00947E2F" w:rsidRPr="001050E1">
        <w:t xml:space="preserve"> (</w:t>
      </w:r>
      <w:r w:rsidRPr="00DE15E5">
        <w:t>ALEC</w:t>
      </w:r>
      <w:r w:rsidR="00DE15E5" w:rsidRPr="001050E1">
        <w:t>)</w:t>
      </w:r>
      <w:r w:rsidR="00F44D21">
        <w:t>.</w:t>
      </w:r>
      <w:r w:rsidR="00F0609D">
        <w:t xml:space="preserve"> </w:t>
      </w:r>
      <w:r w:rsidR="00D4504E">
        <w:t>The</w:t>
      </w:r>
      <w:r w:rsidRPr="008E3B98">
        <w:t xml:space="preserve"> department works closely with representative bodies, such as ALEC, when developing new policies and procedures.</w:t>
      </w:r>
    </w:p>
    <w:p w14:paraId="0BB4B165" w14:textId="4966B4F9" w:rsidR="008E3B98" w:rsidRPr="008E3B98" w:rsidRDefault="008E3B98" w:rsidP="008E3B98">
      <w:r w:rsidRPr="008E3B98">
        <w:t xml:space="preserve">The department has established the Live Export Animal Welfare Collaborative Working Group to regularly liaise with </w:t>
      </w:r>
      <w:r w:rsidR="004A1A77">
        <w:t xml:space="preserve">industry </w:t>
      </w:r>
      <w:r w:rsidR="0041469B">
        <w:t xml:space="preserve">representatives </w:t>
      </w:r>
      <w:r w:rsidRPr="008E3B98">
        <w:t>on animal welfare issues.</w:t>
      </w:r>
    </w:p>
    <w:p w14:paraId="33FA3E8F" w14:textId="0130C2AE" w:rsidR="00055C41" w:rsidRDefault="00055C41" w:rsidP="006F553B">
      <w:pPr>
        <w:pStyle w:val="Heading4"/>
      </w:pPr>
      <w:r w:rsidRPr="00AD41FB">
        <w:t>Inspector-</w:t>
      </w:r>
      <w:r w:rsidR="00AA767B">
        <w:t>g</w:t>
      </w:r>
      <w:r w:rsidRPr="00AD41FB">
        <w:t>eneral assessment</w:t>
      </w:r>
    </w:p>
    <w:p w14:paraId="7C61B8FB" w14:textId="67756F69" w:rsidR="00C97DFC" w:rsidRDefault="00E01ABD" w:rsidP="008E3B98">
      <w:r>
        <w:t xml:space="preserve">The </w:t>
      </w:r>
      <w:r w:rsidR="00F32FCC">
        <w:t>i</w:t>
      </w:r>
      <w:r w:rsidR="00245F64">
        <w:t>nspector-</w:t>
      </w:r>
      <w:r w:rsidR="00F32FCC">
        <w:t>g</w:t>
      </w:r>
      <w:r w:rsidR="00245F64">
        <w:t xml:space="preserve">eneral </w:t>
      </w:r>
      <w:r>
        <w:t>commends the engagement and contribution of industry</w:t>
      </w:r>
      <w:r w:rsidR="009173F4">
        <w:t xml:space="preserve"> and other stakeholders</w:t>
      </w:r>
      <w:r>
        <w:t xml:space="preserve"> in improving ASEL</w:t>
      </w:r>
      <w:r w:rsidR="009173F4">
        <w:t>. Industry has continued</w:t>
      </w:r>
      <w:r>
        <w:t xml:space="preserve"> investing in research into animal welfare indicators and introduc</w:t>
      </w:r>
      <w:r w:rsidR="009173F4">
        <w:t>ed</w:t>
      </w:r>
      <w:r>
        <w:t xml:space="preserve"> a voluntary northern summer moratorium</w:t>
      </w:r>
      <w:r w:rsidR="00232FEC">
        <w:t xml:space="preserve"> in 2019</w:t>
      </w:r>
      <w:r>
        <w:t xml:space="preserve"> for sheep exports to the </w:t>
      </w:r>
      <w:r w:rsidR="00FE009A">
        <w:t>Middle E</w:t>
      </w:r>
      <w:r>
        <w:t>ast.</w:t>
      </w:r>
      <w:r w:rsidR="00984E07">
        <w:t xml:space="preserve"> Several</w:t>
      </w:r>
      <w:r w:rsidR="009173F4">
        <w:t xml:space="preserve"> stakeholders commented to the </w:t>
      </w:r>
      <w:r w:rsidR="00F32FCC">
        <w:t>i</w:t>
      </w:r>
      <w:r w:rsidR="00785611">
        <w:t>nspector-</w:t>
      </w:r>
      <w:r w:rsidR="00F32FCC">
        <w:t>g</w:t>
      </w:r>
      <w:r w:rsidR="00785611">
        <w:t xml:space="preserve">eneral </w:t>
      </w:r>
      <w:r w:rsidR="009173F4">
        <w:t xml:space="preserve">that the northern summer moratorium and the changes to sheep stocking densities were the major factors </w:t>
      </w:r>
      <w:r w:rsidR="008802A4">
        <w:t xml:space="preserve">contributing </w:t>
      </w:r>
      <w:r w:rsidR="009173F4">
        <w:t>to improved animal health and welfare outcomes for sheep exports</w:t>
      </w:r>
      <w:r w:rsidR="0058732E">
        <w:t xml:space="preserve"> over this </w:t>
      </w:r>
      <w:r w:rsidR="002662D7">
        <w:t xml:space="preserve">northern summer </w:t>
      </w:r>
      <w:r w:rsidR="0058732E">
        <w:t>period</w:t>
      </w:r>
      <w:r w:rsidR="009173F4">
        <w:t>.</w:t>
      </w:r>
    </w:p>
    <w:p w14:paraId="6D07E224" w14:textId="47DC3DEE" w:rsidR="00E01ABD" w:rsidRPr="00FE009A" w:rsidRDefault="00984E07" w:rsidP="008E3B98">
      <w:r>
        <w:lastRenderedPageBreak/>
        <w:t>B</w:t>
      </w:r>
      <w:r w:rsidR="00E01ABD">
        <w:t xml:space="preserve">oth the department and industry </w:t>
      </w:r>
      <w:r>
        <w:t xml:space="preserve">must </w:t>
      </w:r>
      <w:r w:rsidR="00E01ABD">
        <w:t>continue to pursue improved animal health and welfare outcomes</w:t>
      </w:r>
      <w:r w:rsidR="009173F4">
        <w:t xml:space="preserve"> and indicators</w:t>
      </w:r>
      <w:r w:rsidR="00E01ABD">
        <w:t xml:space="preserve">. This commitment </w:t>
      </w:r>
      <w:r w:rsidR="009173F4">
        <w:t>may</w:t>
      </w:r>
      <w:r w:rsidR="00E01ABD">
        <w:t xml:space="preserve"> be </w:t>
      </w:r>
      <w:r w:rsidR="0061122D">
        <w:t>unclear</w:t>
      </w:r>
      <w:r w:rsidR="00871E89">
        <w:t xml:space="preserve"> to </w:t>
      </w:r>
      <w:r w:rsidR="00E01ABD">
        <w:t>other stakeholder</w:t>
      </w:r>
      <w:r w:rsidR="00C80EE2">
        <w:t>s</w:t>
      </w:r>
      <w:r w:rsidR="00E01ABD">
        <w:t xml:space="preserve"> when the public dialogue reverts to mortality rates alone (</w:t>
      </w:r>
      <w:r w:rsidR="00C80EE2">
        <w:t xml:space="preserve">a </w:t>
      </w:r>
      <w:r w:rsidR="00E01ABD">
        <w:t>more simplistic</w:t>
      </w:r>
      <w:r w:rsidR="00C80EE2">
        <w:t>, albeit important, outcome indicator).</w:t>
      </w:r>
    </w:p>
    <w:p w14:paraId="7D62C370" w14:textId="77777777" w:rsidR="008E3B98" w:rsidRPr="008E3B98" w:rsidRDefault="008E3B98" w:rsidP="00F46CCE">
      <w:pPr>
        <w:pStyle w:val="Heading3"/>
      </w:pPr>
      <w:bookmarkStart w:id="26" w:name="_Toc50537093"/>
      <w:bookmarkStart w:id="27" w:name="_Toc58774285"/>
      <w:r w:rsidRPr="008E3B98">
        <w:t>A regulator with the necessary skills and systems</w:t>
      </w:r>
      <w:bookmarkEnd w:id="26"/>
      <w:bookmarkEnd w:id="27"/>
    </w:p>
    <w:p w14:paraId="2F3535A2" w14:textId="5882E255" w:rsidR="00984E07" w:rsidRPr="00984E07" w:rsidRDefault="00984E07" w:rsidP="002662D7">
      <w:r>
        <w:t xml:space="preserve">In </w:t>
      </w:r>
      <w:r w:rsidR="008802A4">
        <w:t xml:space="preserve">its </w:t>
      </w:r>
      <w:r>
        <w:t>2018</w:t>
      </w:r>
      <w:r w:rsidR="008802A4">
        <w:t xml:space="preserve"> </w:t>
      </w:r>
      <w:r>
        <w:t>response to the Moss Review, the depart</w:t>
      </w:r>
      <w:r w:rsidR="00411435">
        <w:t>ment</w:t>
      </w:r>
      <w:r>
        <w:t xml:space="preserve"> stated:</w:t>
      </w:r>
    </w:p>
    <w:p w14:paraId="50F0A090" w14:textId="0414DB7E" w:rsidR="008E3B98" w:rsidRPr="008E3B98" w:rsidRDefault="008E3B98" w:rsidP="008E3B98">
      <w:pPr>
        <w:ind w:left="709" w:right="567"/>
        <w:rPr>
          <w:rFonts w:eastAsia="Times New Roman"/>
          <w:iCs/>
          <w:color w:val="000000"/>
          <w:sz w:val="20"/>
          <w:szCs w:val="24"/>
        </w:rPr>
      </w:pPr>
      <w:r w:rsidRPr="008E3B98">
        <w:rPr>
          <w:rFonts w:eastAsia="Times New Roman"/>
          <w:iCs/>
          <w:color w:val="000000"/>
          <w:sz w:val="20"/>
          <w:szCs w:val="24"/>
        </w:rPr>
        <w:t>The department is committed to investing in its staff and ensuring they have the right skills and capabilities, and are provided the necessary support and training to be effective regulatory professionals. In its submission to the Independent Review of the Australian Public Service (APS Review), the department identified that improving the regulatory skill base is essential in building our regulatory workforce capability. At the same time, the department’s effective regulation of live animal exports (and other areas of regulatory responsibility) requires greater investment to modernise ICT systems and to improve regulatory capability. This point was also highlighted in the department’s submission to the APS Review (</w:t>
      </w:r>
      <w:r w:rsidRPr="001D71C2">
        <w:rPr>
          <w:rFonts w:eastAsia="Times New Roman"/>
          <w:iCs/>
          <w:color w:val="000000"/>
          <w:sz w:val="20"/>
          <w:szCs w:val="24"/>
        </w:rPr>
        <w:t>Department of Agriculture and Water Resources 2018).</w:t>
      </w:r>
    </w:p>
    <w:p w14:paraId="6CBF87B6" w14:textId="3D858110" w:rsidR="00AD7E81" w:rsidRDefault="005E000E" w:rsidP="002662D7">
      <w:pPr>
        <w:pStyle w:val="BoxHeading"/>
        <w:keepNext/>
      </w:pPr>
      <w:r>
        <w:t xml:space="preserve">Moss </w:t>
      </w:r>
      <w:r w:rsidR="00103977">
        <w:t xml:space="preserve">Review </w:t>
      </w:r>
      <w:r>
        <w:t>r</w:t>
      </w:r>
      <w:r w:rsidR="008E3B98" w:rsidRPr="008E3B98">
        <w:t>ecommendation 12</w:t>
      </w:r>
    </w:p>
    <w:p w14:paraId="3A4C9E56" w14:textId="675401D7" w:rsidR="008E3B98" w:rsidRDefault="008E3B98" w:rsidP="00AD7E81">
      <w:pPr>
        <w:pStyle w:val="BoxText"/>
      </w:pPr>
      <w:r w:rsidRPr="008E3B98">
        <w:t xml:space="preserve">That the department make arrangements to enable on-board </w:t>
      </w:r>
      <w:r w:rsidR="002662D7" w:rsidRPr="008E3B98">
        <w:t>Australian Government</w:t>
      </w:r>
      <w:r w:rsidRPr="008E3B98">
        <w:t xml:space="preserve"> </w:t>
      </w:r>
      <w:r w:rsidR="007A2843">
        <w:t>A</w:t>
      </w:r>
      <w:r w:rsidR="006D4C07">
        <w:t xml:space="preserve">ccredited </w:t>
      </w:r>
      <w:r w:rsidR="007A2843">
        <w:t>V</w:t>
      </w:r>
      <w:r w:rsidR="006D4C07">
        <w:t>eterinarian</w:t>
      </w:r>
      <w:r w:rsidRPr="008E3B98">
        <w:t>s</w:t>
      </w:r>
      <w:r w:rsidR="007A2843">
        <w:t xml:space="preserve"> </w:t>
      </w:r>
      <w:r w:rsidRPr="008E3B98">
        <w:t>and independent observers to contact the department at all</w:t>
      </w:r>
      <w:r w:rsidR="00A6198E">
        <w:t xml:space="preserve"> </w:t>
      </w:r>
      <w:r w:rsidRPr="008E3B98">
        <w:t>times, including, when necessary, through the Australian Maritime Safety Authority response centre.</w:t>
      </w:r>
    </w:p>
    <w:p w14:paraId="4662DB68" w14:textId="50DE2FD4" w:rsidR="00AD7E81" w:rsidRPr="002662D7" w:rsidRDefault="00AD7E81" w:rsidP="002662D7">
      <w:pPr>
        <w:pStyle w:val="BoxText"/>
        <w:keepNext/>
        <w:rPr>
          <w:b/>
          <w:bCs/>
        </w:rPr>
      </w:pPr>
      <w:r w:rsidRPr="008E3402">
        <w:rPr>
          <w:rStyle w:val="Strong"/>
        </w:rPr>
        <w:t>Implementation status</w:t>
      </w:r>
    </w:p>
    <w:p w14:paraId="286323E8" w14:textId="5AA66BE1" w:rsidR="008E3B98" w:rsidRPr="002662D7" w:rsidRDefault="008E3B98" w:rsidP="002662D7">
      <w:pPr>
        <w:pStyle w:val="BoxTextBullet"/>
      </w:pPr>
      <w:r w:rsidRPr="002662D7">
        <w:t xml:space="preserve">Department’s </w:t>
      </w:r>
      <w:r w:rsidR="00AD7E81">
        <w:t>assessment</w:t>
      </w:r>
      <w:r w:rsidRPr="002662D7">
        <w:t>: Complete</w:t>
      </w:r>
    </w:p>
    <w:p w14:paraId="1AB47BD0" w14:textId="640709EC" w:rsidR="00AD7E81" w:rsidRPr="002662D7" w:rsidRDefault="008A5824" w:rsidP="002662D7">
      <w:pPr>
        <w:pStyle w:val="BoxTextBullet"/>
      </w:pPr>
      <w:r>
        <w:t>Inspector-</w:t>
      </w:r>
      <w:r w:rsidR="00AA767B">
        <w:t>g</w:t>
      </w:r>
      <w:r>
        <w:t>eneral’s assessment:</w:t>
      </w:r>
      <w:r w:rsidR="00AD7E81" w:rsidRPr="002662D7">
        <w:t xml:space="preserve"> </w:t>
      </w:r>
      <w:r w:rsidR="00FA719E">
        <w:t>Implemented - ongoing</w:t>
      </w:r>
    </w:p>
    <w:p w14:paraId="28690610" w14:textId="77777777" w:rsidR="00FA719E" w:rsidRDefault="00FA719E" w:rsidP="006F553B">
      <w:pPr>
        <w:pStyle w:val="Heading4"/>
      </w:pPr>
      <w:r>
        <w:t>Department’s response: Support in principle</w:t>
      </w:r>
    </w:p>
    <w:p w14:paraId="7E654CE0" w14:textId="601A5513" w:rsidR="008E3B98" w:rsidRPr="008E3B98" w:rsidRDefault="008E3B98" w:rsidP="008E3B98">
      <w:r w:rsidRPr="008E3B98">
        <w:t xml:space="preserve">The department has formalised arrangements with the Australian Maritime Safety Authority (AMSA) to support the safety and wellbeing of </w:t>
      </w:r>
      <w:r w:rsidR="000E000B" w:rsidRPr="000E000B">
        <w:t>independent observers</w:t>
      </w:r>
      <w:r w:rsidRPr="008E3B98">
        <w:t xml:space="preserve"> during deployment. AMSA has advised that established communication protocols </w:t>
      </w:r>
      <w:r w:rsidR="00654C94">
        <w:t xml:space="preserve">are </w:t>
      </w:r>
      <w:r w:rsidRPr="008E3B98">
        <w:t xml:space="preserve">in place for direct communications between the </w:t>
      </w:r>
      <w:r w:rsidR="006D4C07">
        <w:t>i</w:t>
      </w:r>
      <w:r w:rsidR="00A25939">
        <w:t xml:space="preserve">ndependent </w:t>
      </w:r>
      <w:r w:rsidR="006D4C07">
        <w:t>o</w:t>
      </w:r>
      <w:r w:rsidR="00A25939">
        <w:t>bserver</w:t>
      </w:r>
      <w:r w:rsidRPr="008E3B98">
        <w:t>s and the department.</w:t>
      </w:r>
    </w:p>
    <w:p w14:paraId="0F43262A" w14:textId="23F4B704" w:rsidR="008E3B98" w:rsidRPr="008E3B98" w:rsidRDefault="008E3B98" w:rsidP="008E3B98">
      <w:r w:rsidRPr="008E3B98">
        <w:t xml:space="preserve">Australian </w:t>
      </w:r>
      <w:r w:rsidR="00D320A1">
        <w:t>g</w:t>
      </w:r>
      <w:r w:rsidRPr="008E3B98">
        <w:t xml:space="preserve">overnment </w:t>
      </w:r>
      <w:r w:rsidR="00AA767B">
        <w:t>a</w:t>
      </w:r>
      <w:r w:rsidR="00826284">
        <w:t xml:space="preserve">ccredited </w:t>
      </w:r>
      <w:r w:rsidR="00AA767B">
        <w:t>v</w:t>
      </w:r>
      <w:r w:rsidR="00826284">
        <w:t>eterinarian</w:t>
      </w:r>
      <w:r w:rsidR="00826284" w:rsidRPr="008E3B98">
        <w:t xml:space="preserve">s </w:t>
      </w:r>
      <w:r w:rsidRPr="008E3B98">
        <w:t xml:space="preserve">and </w:t>
      </w:r>
      <w:r w:rsidR="006D4C07">
        <w:t>i</w:t>
      </w:r>
      <w:r w:rsidR="00A25939">
        <w:t xml:space="preserve">ndependent </w:t>
      </w:r>
      <w:r w:rsidR="006D4C07">
        <w:t>o</w:t>
      </w:r>
      <w:r w:rsidR="00A25939">
        <w:t>bserver</w:t>
      </w:r>
      <w:r w:rsidRPr="008E3B98">
        <w:t xml:space="preserve">s </w:t>
      </w:r>
      <w:r w:rsidR="00654C94">
        <w:t>report to</w:t>
      </w:r>
      <w:r w:rsidRPr="008E3B98">
        <w:t xml:space="preserve"> the department daily, submitting their reports via email. I</w:t>
      </w:r>
      <w:r w:rsidR="00B81DCD">
        <w:t xml:space="preserve">ndependent </w:t>
      </w:r>
      <w:r w:rsidR="006D4C07">
        <w:t>o</w:t>
      </w:r>
      <w:r w:rsidR="00B81DCD">
        <w:t>bserver</w:t>
      </w:r>
      <w:r w:rsidRPr="008E3B98">
        <w:t>s are also provided with satellite phones as a communication backup if shipboard internet or mobile phone coverage is inadequate.</w:t>
      </w:r>
    </w:p>
    <w:p w14:paraId="245EAAE7" w14:textId="11B01B31" w:rsidR="000E000B" w:rsidRDefault="000E000B" w:rsidP="006F553B">
      <w:pPr>
        <w:pStyle w:val="Heading4"/>
      </w:pPr>
      <w:r w:rsidRPr="00AD41FB">
        <w:t>Inspector-</w:t>
      </w:r>
      <w:r w:rsidR="00AA767B">
        <w:t>g</w:t>
      </w:r>
      <w:r w:rsidRPr="00AD41FB">
        <w:t>eneral</w:t>
      </w:r>
      <w:r w:rsidR="008515DB" w:rsidRPr="00AD41FB">
        <w:t>’s</w:t>
      </w:r>
      <w:r w:rsidRPr="00AD41FB">
        <w:t xml:space="preserve"> assessment</w:t>
      </w:r>
    </w:p>
    <w:p w14:paraId="75A84939" w14:textId="5C26521C" w:rsidR="00570029" w:rsidRPr="008E3B98" w:rsidRDefault="005F1364" w:rsidP="00115530">
      <w:pPr>
        <w:keepNext/>
      </w:pPr>
      <w:r>
        <w:t xml:space="preserve">The </w:t>
      </w:r>
      <w:r w:rsidR="00F32FCC">
        <w:t>i</w:t>
      </w:r>
      <w:r>
        <w:t>nspector-</w:t>
      </w:r>
      <w:r w:rsidR="00F32FCC">
        <w:t>g</w:t>
      </w:r>
      <w:r>
        <w:t xml:space="preserve">eneral acknowledges the department’s </w:t>
      </w:r>
      <w:r w:rsidR="00FA719E">
        <w:t>implementation</w:t>
      </w:r>
      <w:r>
        <w:t xml:space="preserve"> of </w:t>
      </w:r>
      <w:r w:rsidR="008802A4">
        <w:t>Moss Review</w:t>
      </w:r>
      <w:r>
        <w:t xml:space="preserve"> recommendation</w:t>
      </w:r>
      <w:r w:rsidR="008802A4">
        <w:t xml:space="preserve"> 12</w:t>
      </w:r>
      <w:r>
        <w:t xml:space="preserve">. </w:t>
      </w:r>
      <w:r w:rsidR="00F2475E">
        <w:t xml:space="preserve">Exporters </w:t>
      </w:r>
      <w:r>
        <w:t>consider</w:t>
      </w:r>
      <w:r w:rsidR="00F2475E">
        <w:t xml:space="preserve"> that </w:t>
      </w:r>
      <w:r>
        <w:t xml:space="preserve">being able to contact the department at any time should not be limited to Australian </w:t>
      </w:r>
      <w:r w:rsidR="00D320A1">
        <w:t>g</w:t>
      </w:r>
      <w:r>
        <w:t xml:space="preserve">overnment </w:t>
      </w:r>
      <w:r w:rsidR="00AA767B">
        <w:t>a</w:t>
      </w:r>
      <w:r>
        <w:t xml:space="preserve">ccredited </w:t>
      </w:r>
      <w:r w:rsidR="00AA767B">
        <w:t>v</w:t>
      </w:r>
      <w:r w:rsidR="00403DBA">
        <w:t xml:space="preserve">eterinarians </w:t>
      </w:r>
      <w:r>
        <w:t xml:space="preserve">and </w:t>
      </w:r>
      <w:r w:rsidR="006D4C07">
        <w:t>independent observer</w:t>
      </w:r>
      <w:r>
        <w:t>s on voyages</w:t>
      </w:r>
      <w:r w:rsidR="00F2475E">
        <w:t>.</w:t>
      </w:r>
      <w:r w:rsidR="000E5504">
        <w:t xml:space="preserve"> </w:t>
      </w:r>
      <w:r w:rsidR="00CE5C98" w:rsidRPr="00CE5C98">
        <w:t>A submission to this review indicated that it was sometimes difficult to get access to the Plant and Live Animal Exports Division outside of business hours.</w:t>
      </w:r>
      <w:r w:rsidR="00F3280A">
        <w:t xml:space="preserve"> This issue </w:t>
      </w:r>
      <w:r w:rsidR="00F3280A">
        <w:lastRenderedPageBreak/>
        <w:t xml:space="preserve">will be discussed </w:t>
      </w:r>
      <w:r w:rsidR="0045405B">
        <w:t>in the forthcoming</w:t>
      </w:r>
      <w:r w:rsidR="00F3280A">
        <w:t xml:space="preserve"> </w:t>
      </w:r>
      <w:r w:rsidR="00F32FCC">
        <w:t>i</w:t>
      </w:r>
      <w:r w:rsidR="0045405B">
        <w:t>nspector-</w:t>
      </w:r>
      <w:r w:rsidR="00F32FCC">
        <w:t>g</w:t>
      </w:r>
      <w:r w:rsidR="0045405B">
        <w:t>eneral’s</w:t>
      </w:r>
      <w:r w:rsidR="00F3280A">
        <w:t xml:space="preserve"> review on livestock export permits</w:t>
      </w:r>
      <w:r w:rsidR="003056E0">
        <w:t xml:space="preserve"> and health certificates</w:t>
      </w:r>
      <w:r w:rsidR="00F3280A">
        <w:t>.</w:t>
      </w:r>
    </w:p>
    <w:p w14:paraId="447AAAF1" w14:textId="1F3BCF87" w:rsidR="00AD7E81" w:rsidRDefault="005E000E" w:rsidP="006E7A32">
      <w:pPr>
        <w:pStyle w:val="BoxHeading"/>
      </w:pPr>
      <w:r>
        <w:t xml:space="preserve">Moss </w:t>
      </w:r>
      <w:r w:rsidR="00103977">
        <w:t xml:space="preserve">Review </w:t>
      </w:r>
      <w:r>
        <w:t>r</w:t>
      </w:r>
      <w:r w:rsidR="008E3B98" w:rsidRPr="008E3B98">
        <w:t>ecommendation 14</w:t>
      </w:r>
    </w:p>
    <w:p w14:paraId="5891BB6A" w14:textId="54952736" w:rsidR="008E3B98" w:rsidRDefault="008E3B98" w:rsidP="00AD7E81">
      <w:pPr>
        <w:pStyle w:val="BoxText"/>
      </w:pPr>
      <w:r w:rsidRPr="008E3B98">
        <w:t>That the department re-establish an Animal Welfare Branch and place animal welfare at the centre of its regulatory activities in relation to live animal exports.</w:t>
      </w:r>
    </w:p>
    <w:p w14:paraId="3F9D5A6F" w14:textId="1654B3C8" w:rsidR="00AD7E81" w:rsidRPr="006E7A32" w:rsidRDefault="00AD7E81" w:rsidP="006E7A32">
      <w:pPr>
        <w:pStyle w:val="BoxText"/>
        <w:keepNext/>
        <w:rPr>
          <w:b/>
          <w:bCs/>
        </w:rPr>
      </w:pPr>
      <w:r w:rsidRPr="008E3402">
        <w:rPr>
          <w:rStyle w:val="Strong"/>
        </w:rPr>
        <w:t>Implementation status</w:t>
      </w:r>
    </w:p>
    <w:p w14:paraId="69CFC6FE" w14:textId="7CFD5F3E" w:rsidR="008E3B98" w:rsidRPr="006E7A32" w:rsidRDefault="008E3B98" w:rsidP="006E7A32">
      <w:pPr>
        <w:pStyle w:val="BoxTextBullet"/>
      </w:pPr>
      <w:r w:rsidRPr="006E7A32">
        <w:t>Department</w:t>
      </w:r>
      <w:r w:rsidR="00AD7E81">
        <w:t>’s</w:t>
      </w:r>
      <w:r w:rsidRPr="006E7A32">
        <w:t xml:space="preserve"> </w:t>
      </w:r>
      <w:r w:rsidR="00AD7E81">
        <w:t>assessment</w:t>
      </w:r>
      <w:r w:rsidRPr="006E7A32">
        <w:t>: Complete</w:t>
      </w:r>
    </w:p>
    <w:p w14:paraId="634E83E6" w14:textId="3DD27F24" w:rsidR="00AD7E81" w:rsidRPr="007A5762" w:rsidRDefault="008A5824" w:rsidP="006E7A32">
      <w:pPr>
        <w:pStyle w:val="BoxTextBullet"/>
      </w:pPr>
      <w:r>
        <w:t>Inspector-</w:t>
      </w:r>
      <w:r w:rsidR="00AA767B">
        <w:t>g</w:t>
      </w:r>
      <w:r>
        <w:t>eneral’s assessment:</w:t>
      </w:r>
      <w:r w:rsidR="00AD7E81" w:rsidRPr="006E7A32">
        <w:t xml:space="preserve"> Implemented – </w:t>
      </w:r>
      <w:r w:rsidR="00BA06A4">
        <w:t>o</w:t>
      </w:r>
      <w:r w:rsidR="00AD7E81" w:rsidRPr="006E7A32">
        <w:t>ngoing</w:t>
      </w:r>
    </w:p>
    <w:p w14:paraId="0FFDC18D" w14:textId="77777777" w:rsidR="00FA719E" w:rsidRDefault="00FA719E" w:rsidP="006F553B">
      <w:pPr>
        <w:pStyle w:val="Heading4"/>
      </w:pPr>
      <w:r>
        <w:t>Department’s response: Support</w:t>
      </w:r>
    </w:p>
    <w:p w14:paraId="68418C1E" w14:textId="14F6F1B4" w:rsidR="000975F5" w:rsidRDefault="008E3B98" w:rsidP="008E3B98">
      <w:r w:rsidRPr="008E3B98">
        <w:t>The Animal Welfare Branch was established in October 2018. The branch is responsible for the ongoing development of ASEL, systems verification and broad stakeholder engagement. It also provides ongoing support for the effective regulation of animal welfare standards for live animal exports.</w:t>
      </w:r>
    </w:p>
    <w:p w14:paraId="43486C68" w14:textId="30CD7EFE" w:rsidR="008E3B98" w:rsidRPr="008E3B98" w:rsidRDefault="008E3B98" w:rsidP="008E3B98">
      <w:r w:rsidRPr="008E3B98">
        <w:t xml:space="preserve">The </w:t>
      </w:r>
      <w:r w:rsidR="008802A4">
        <w:t>addition</w:t>
      </w:r>
      <w:r w:rsidRPr="008E3B98">
        <w:t xml:space="preserve"> of a significant number of positions requiring veterinary degrees has greatly increased the internal veterinary technical expertise available to support the department’s focus on animal welfare.</w:t>
      </w:r>
    </w:p>
    <w:p w14:paraId="2D180FF3" w14:textId="599FDF72" w:rsidR="000E000B" w:rsidRDefault="000E000B" w:rsidP="006F553B">
      <w:pPr>
        <w:pStyle w:val="Heading4"/>
      </w:pPr>
      <w:r w:rsidRPr="00C16BB5">
        <w:t>Inspector-</w:t>
      </w:r>
      <w:r w:rsidR="00AA767B">
        <w:t>g</w:t>
      </w:r>
      <w:r w:rsidRPr="00C16BB5">
        <w:t>eneral</w:t>
      </w:r>
      <w:r w:rsidR="008515DB" w:rsidRPr="00C16BB5">
        <w:t>’s</w:t>
      </w:r>
      <w:r w:rsidRPr="00C16BB5">
        <w:t xml:space="preserve"> assessment</w:t>
      </w:r>
    </w:p>
    <w:p w14:paraId="0E467085" w14:textId="13167CBC" w:rsidR="008E3B98" w:rsidRPr="008E3B98" w:rsidRDefault="0060233F" w:rsidP="008E3B98">
      <w:pPr>
        <w:rPr>
          <w:bCs/>
        </w:rPr>
      </w:pPr>
      <w:r>
        <w:rPr>
          <w:bCs/>
        </w:rPr>
        <w:t>Th</w:t>
      </w:r>
      <w:r w:rsidR="00DE00AC">
        <w:rPr>
          <w:bCs/>
        </w:rPr>
        <w:t>e</w:t>
      </w:r>
      <w:r w:rsidR="00AD587B">
        <w:rPr>
          <w:bCs/>
        </w:rPr>
        <w:t xml:space="preserve"> </w:t>
      </w:r>
      <w:r w:rsidR="00F32FCC">
        <w:rPr>
          <w:bCs/>
        </w:rPr>
        <w:t>i</w:t>
      </w:r>
      <w:r w:rsidR="00AD587B">
        <w:rPr>
          <w:bCs/>
        </w:rPr>
        <w:t>nspector-</w:t>
      </w:r>
      <w:r w:rsidR="00F32FCC">
        <w:rPr>
          <w:bCs/>
        </w:rPr>
        <w:t>g</w:t>
      </w:r>
      <w:r w:rsidR="00AD587B">
        <w:rPr>
          <w:bCs/>
        </w:rPr>
        <w:t xml:space="preserve">eneral commends the department for the progress it has made in relation to </w:t>
      </w:r>
      <w:r w:rsidR="008802A4">
        <w:rPr>
          <w:bCs/>
        </w:rPr>
        <w:t>Moss</w:t>
      </w:r>
      <w:r w:rsidR="00AD587B">
        <w:rPr>
          <w:bCs/>
        </w:rPr>
        <w:t xml:space="preserve"> recommendation</w:t>
      </w:r>
      <w:r w:rsidR="008802A4">
        <w:rPr>
          <w:bCs/>
        </w:rPr>
        <w:t xml:space="preserve"> 14</w:t>
      </w:r>
      <w:r w:rsidR="00AD587B">
        <w:rPr>
          <w:bCs/>
        </w:rPr>
        <w:t>.</w:t>
      </w:r>
    </w:p>
    <w:p w14:paraId="70332DE3" w14:textId="452DBC56" w:rsidR="00AD7E81" w:rsidRPr="00B7620F" w:rsidRDefault="005E000E" w:rsidP="006E7A32">
      <w:pPr>
        <w:pStyle w:val="BoxHeading"/>
        <w:keepNext/>
      </w:pPr>
      <w:r w:rsidRPr="007A5762">
        <w:t xml:space="preserve">Moss </w:t>
      </w:r>
      <w:r w:rsidR="00103977">
        <w:t xml:space="preserve">Review </w:t>
      </w:r>
      <w:r w:rsidRPr="007A5762">
        <w:t>r</w:t>
      </w:r>
      <w:r w:rsidR="008E3B98" w:rsidRPr="00141865">
        <w:t>ecommendation 16</w:t>
      </w:r>
    </w:p>
    <w:p w14:paraId="3F5762E0" w14:textId="069F1A9E" w:rsidR="008E3B98" w:rsidRDefault="008E3B98" w:rsidP="00AD7E81">
      <w:pPr>
        <w:pStyle w:val="BoxText"/>
      </w:pPr>
      <w:r w:rsidRPr="008E3B98">
        <w:t>That full cost recovery be accepted by the live animal export industry as underpinning the model of regulation and that the department ensure that the model operates effectively.</w:t>
      </w:r>
    </w:p>
    <w:p w14:paraId="2E1F4DC6" w14:textId="0AADEC72" w:rsidR="00AD7E81" w:rsidRPr="006E7A32" w:rsidRDefault="00AD7E81" w:rsidP="006E7A32">
      <w:pPr>
        <w:pStyle w:val="BoxText"/>
        <w:keepNext/>
        <w:rPr>
          <w:b/>
          <w:bCs/>
        </w:rPr>
      </w:pPr>
      <w:r w:rsidRPr="008E3402">
        <w:rPr>
          <w:rStyle w:val="Strong"/>
        </w:rPr>
        <w:t>Implementation status</w:t>
      </w:r>
    </w:p>
    <w:p w14:paraId="16790CEF" w14:textId="64032DC2" w:rsidR="008E3B98" w:rsidRPr="006E7A32" w:rsidRDefault="008E3B98" w:rsidP="006E7A32">
      <w:pPr>
        <w:pStyle w:val="BoxTextBullet"/>
      </w:pPr>
      <w:r w:rsidRPr="006E7A32">
        <w:t xml:space="preserve">Department’s </w:t>
      </w:r>
      <w:r w:rsidR="00AD7E81">
        <w:t>assessment</w:t>
      </w:r>
      <w:r w:rsidRPr="006E7A32">
        <w:t xml:space="preserve">: In progress </w:t>
      </w:r>
      <w:r w:rsidR="003B5F7D">
        <w:t>(</w:t>
      </w:r>
      <w:r w:rsidRPr="006E7A32">
        <w:t>on hold)</w:t>
      </w:r>
    </w:p>
    <w:p w14:paraId="0F11C95C" w14:textId="2D216BF6" w:rsidR="00AD7E81" w:rsidRPr="006E7A32" w:rsidRDefault="008A5824" w:rsidP="006E7A32">
      <w:pPr>
        <w:pStyle w:val="BoxTextBullet"/>
      </w:pPr>
      <w:r>
        <w:t>Inspector-General’s assessment:</w:t>
      </w:r>
      <w:r w:rsidR="00AD7E81" w:rsidRPr="006E7A32">
        <w:t xml:space="preserve"> In progress (on hold)</w:t>
      </w:r>
    </w:p>
    <w:p w14:paraId="53992331" w14:textId="77777777" w:rsidR="004D7608" w:rsidRDefault="004D7608" w:rsidP="006F553B">
      <w:pPr>
        <w:pStyle w:val="Heading4"/>
      </w:pPr>
      <w:r>
        <w:t>Department’s response: Support in principle</w:t>
      </w:r>
    </w:p>
    <w:p w14:paraId="3CF1F355" w14:textId="35F52947" w:rsidR="008E3B98" w:rsidRPr="008E3B98" w:rsidRDefault="00C43E9F" w:rsidP="008E3B98">
      <w:r w:rsidRPr="00C43E9F">
        <w:t>In Budget 2020</w:t>
      </w:r>
      <w:r w:rsidR="0052530B">
        <w:t>–</w:t>
      </w:r>
      <w:r w:rsidRPr="00C43E9F">
        <w:t>21 the government announced as part of the Busting Congestion for Agricultural Exporters package, a decision to freeze fees and charges in 2020</w:t>
      </w:r>
      <w:r w:rsidR="0052530B">
        <w:t>–</w:t>
      </w:r>
      <w:r w:rsidRPr="00C43E9F">
        <w:t>21 for exports cost recovery and then gradually return to full cost recovery by 2023</w:t>
      </w:r>
      <w:r w:rsidR="0052530B">
        <w:t>–</w:t>
      </w:r>
      <w:r w:rsidRPr="00C43E9F">
        <w:t>24. In addition, the package invests in reform of export regulation increase efficiency and effectiveness. Revised fees and charges will be implemented on 1 July 2021 following consultation with industry on a draft cost recovery implementation statement (CRIS) in the first quarter of 2021.</w:t>
      </w:r>
    </w:p>
    <w:p w14:paraId="4D000301" w14:textId="764F72AC" w:rsidR="00C16BB5" w:rsidRDefault="004D7608" w:rsidP="006F553B">
      <w:pPr>
        <w:pStyle w:val="Heading4"/>
      </w:pPr>
      <w:r w:rsidRPr="00FF1775">
        <w:t>Inspector-</w:t>
      </w:r>
      <w:r w:rsidR="00C15895">
        <w:t>g</w:t>
      </w:r>
      <w:r w:rsidRPr="00FF1775">
        <w:t>eneral’s assessment</w:t>
      </w:r>
    </w:p>
    <w:p w14:paraId="412C8BD3" w14:textId="14800DFD" w:rsidR="009441E2" w:rsidRPr="00F63503" w:rsidRDefault="008B6A9B" w:rsidP="006E7A32">
      <w:pPr>
        <w:keepNext/>
      </w:pPr>
      <w:r>
        <w:t>Several</w:t>
      </w:r>
      <w:r w:rsidR="009441E2" w:rsidRPr="00F63503">
        <w:t xml:space="preserve"> submissions mentioned cost</w:t>
      </w:r>
      <w:r>
        <w:t xml:space="preserve"> </w:t>
      </w:r>
      <w:r w:rsidR="009441E2" w:rsidRPr="00F63503">
        <w:t xml:space="preserve">recovery </w:t>
      </w:r>
      <w:r w:rsidR="00B81DCD">
        <w:t xml:space="preserve">in the context of </w:t>
      </w:r>
      <w:r w:rsidR="009441E2" w:rsidRPr="00F63503">
        <w:t>efficiency and effectiveness</w:t>
      </w:r>
      <w:r w:rsidR="00643499" w:rsidRPr="00F63503">
        <w:t>:</w:t>
      </w:r>
    </w:p>
    <w:p w14:paraId="45803AA2" w14:textId="24F25E2C" w:rsidR="001507E3" w:rsidRPr="00C70CE3" w:rsidRDefault="001507E3" w:rsidP="00C70CE3">
      <w:pPr>
        <w:pStyle w:val="Quote"/>
      </w:pPr>
      <w:r w:rsidRPr="00C70CE3">
        <w:t>Industry accepts the need for regulatory oversight and the associated costs, on the proviso that regulatory</w:t>
      </w:r>
      <w:r w:rsidRPr="00892B6A">
        <w:t xml:space="preserve"> activities </w:t>
      </w:r>
      <w:r w:rsidR="00B81DCD">
        <w:t xml:space="preserve">are </w:t>
      </w:r>
      <w:r w:rsidRPr="00892B6A">
        <w:t xml:space="preserve">outcomes focused, streamlined and efficient. DAWE’s </w:t>
      </w:r>
      <w:r w:rsidRPr="00892B6A">
        <w:lastRenderedPageBreak/>
        <w:t>regulatory activities have, however, become increasingly pr</w:t>
      </w:r>
      <w:r w:rsidRPr="00C70CE3">
        <w:t>escriptive, slow and inefficient. Any proposed change to cost recovery arrangements must</w:t>
      </w:r>
      <w:r w:rsidRPr="00892B6A">
        <w:t xml:space="preserve"> include efficiency improvements and be consistent with Australian Government Cost Recovery Best Practice Guidelines </w:t>
      </w:r>
      <w:r w:rsidRPr="001D71C2">
        <w:t>(</w:t>
      </w:r>
      <w:r w:rsidR="007E106B">
        <w:t>ALEC 2020</w:t>
      </w:r>
      <w:r w:rsidRPr="001D71C2">
        <w:t>).</w:t>
      </w:r>
    </w:p>
    <w:p w14:paraId="0FF22B39" w14:textId="36D91B90" w:rsidR="001507E3" w:rsidRDefault="00271E77" w:rsidP="00C70CE3">
      <w:pPr>
        <w:pStyle w:val="Quote"/>
      </w:pPr>
      <w:r w:rsidRPr="00C70CE3">
        <w:t xml:space="preserve">Cost </w:t>
      </w:r>
      <w:r w:rsidRPr="00E7574D">
        <w:t>recovery arrangements must</w:t>
      </w:r>
      <w:r w:rsidR="00643499" w:rsidRPr="00E7574D">
        <w:t xml:space="preserve"> </w:t>
      </w:r>
      <w:r w:rsidRPr="00E7574D">
        <w:t>incentivise regulatory efficiency improvements</w:t>
      </w:r>
      <w:r w:rsidR="00643499" w:rsidRPr="00E7574D">
        <w:t>. All regulatory costs need to be continually assessed to ensure regulation is well targeted and efficient in its operation</w:t>
      </w:r>
      <w:r w:rsidR="00643499" w:rsidRPr="00892B6A">
        <w:t xml:space="preserve"> </w:t>
      </w:r>
      <w:r w:rsidR="00643499" w:rsidRPr="001D71C2">
        <w:t>(</w:t>
      </w:r>
      <w:r w:rsidR="007E106B">
        <w:t>NFF 2020</w:t>
      </w:r>
      <w:r w:rsidR="00643499" w:rsidRPr="001D71C2">
        <w:t>).</w:t>
      </w:r>
    </w:p>
    <w:p w14:paraId="24D60C32" w14:textId="6E12BF3C" w:rsidR="008B6A9B" w:rsidRDefault="0045405B" w:rsidP="00B64FD3">
      <w:r>
        <w:t xml:space="preserve">The </w:t>
      </w:r>
      <w:r w:rsidR="00F32FCC">
        <w:t>i</w:t>
      </w:r>
      <w:r w:rsidR="004D7608">
        <w:t>nspector-</w:t>
      </w:r>
      <w:r w:rsidR="00F32FCC">
        <w:t>g</w:t>
      </w:r>
      <w:r w:rsidR="004D7608">
        <w:t>eneral</w:t>
      </w:r>
      <w:r w:rsidR="006E7A32">
        <w:t xml:space="preserve"> </w:t>
      </w:r>
      <w:r>
        <w:t xml:space="preserve">considers that </w:t>
      </w:r>
      <w:r w:rsidR="00596BC2">
        <w:t xml:space="preserve">modern regulatory </w:t>
      </w:r>
      <w:r w:rsidR="00A514AE">
        <w:t>practice should be both</w:t>
      </w:r>
      <w:r w:rsidR="00596BC2">
        <w:t xml:space="preserve"> effective and efficient</w:t>
      </w:r>
      <w:r w:rsidR="00BA4406">
        <w:t>. O</w:t>
      </w:r>
      <w:r w:rsidR="00596BC2">
        <w:t xml:space="preserve">bservations and recommendations arising from </w:t>
      </w:r>
      <w:r w:rsidR="00B81DCD">
        <w:t xml:space="preserve">the </w:t>
      </w:r>
      <w:r w:rsidR="00F32FCC">
        <w:t>i</w:t>
      </w:r>
      <w:r w:rsidR="00B81DCD">
        <w:t>nspector-</w:t>
      </w:r>
      <w:r w:rsidR="00F32FCC">
        <w:t>g</w:t>
      </w:r>
      <w:r w:rsidR="00B81DCD">
        <w:t xml:space="preserve">eneral’s </w:t>
      </w:r>
      <w:r w:rsidR="00596BC2">
        <w:t xml:space="preserve">reviews are intended to improve the department’s regulatory </w:t>
      </w:r>
      <w:r w:rsidR="00A514AE">
        <w:t>practice in both dimensions</w:t>
      </w:r>
      <w:r w:rsidR="00596BC2">
        <w:t xml:space="preserve">. A key principle underpinning </w:t>
      </w:r>
      <w:r w:rsidR="0047029F">
        <w:t>regulation in Australia</w:t>
      </w:r>
      <w:r w:rsidR="00596BC2">
        <w:t xml:space="preserve"> is recover</w:t>
      </w:r>
      <w:r w:rsidR="00F01F3D">
        <w:t>ing costs</w:t>
      </w:r>
      <w:r w:rsidR="00596BC2">
        <w:t xml:space="preserve"> from those creating the risk</w:t>
      </w:r>
      <w:r w:rsidR="00232FEC">
        <w:t xml:space="preserve"> and deriving benefit from the activity</w:t>
      </w:r>
      <w:r w:rsidR="00596BC2">
        <w:t>. However, improving regulatory effectiveness and efficiency may also warrant a public investment where the regulatory asset (systems, processes, capability</w:t>
      </w:r>
      <w:r w:rsidR="008B6A9B">
        <w:t xml:space="preserve"> or</w:t>
      </w:r>
      <w:r w:rsidR="00596BC2">
        <w:t xml:space="preserve"> capacity) is insufficient or has declined over time.</w:t>
      </w:r>
    </w:p>
    <w:p w14:paraId="736AFEE4" w14:textId="193D5825" w:rsidR="0045405B" w:rsidRPr="00367314" w:rsidRDefault="00596BC2" w:rsidP="00B64FD3">
      <w:r>
        <w:t xml:space="preserve">This could be targeted at </w:t>
      </w:r>
      <w:r w:rsidR="00D45240">
        <w:t>raising</w:t>
      </w:r>
      <w:r>
        <w:t xml:space="preserve"> the regulatory regime up to an effective and efficient state, with ongoing operations and maintenance subject to full cost recovery.</w:t>
      </w:r>
      <w:r w:rsidR="005316ED">
        <w:t xml:space="preserve"> </w:t>
      </w:r>
      <w:r w:rsidR="00232FEC">
        <w:t>In this regard t</w:t>
      </w:r>
      <w:r w:rsidR="005316ED">
        <w:t xml:space="preserve">he government’s recent </w:t>
      </w:r>
      <w:r w:rsidR="005E000E">
        <w:t>2020–21</w:t>
      </w:r>
      <w:r w:rsidR="005316ED">
        <w:t xml:space="preserve"> budget announcement provides a substantial investment in modernising the department’s regulation of exports and a pause in fees and charges. The department needs to deliver </w:t>
      </w:r>
      <w:r w:rsidR="008802A4">
        <w:t xml:space="preserve">the </w:t>
      </w:r>
      <w:r w:rsidR="005316ED">
        <w:t xml:space="preserve">effective and efficient regulation envisaged by this investment. </w:t>
      </w:r>
      <w:r w:rsidR="008B6A9B">
        <w:t>During this reform, the department</w:t>
      </w:r>
      <w:r w:rsidR="005316ED">
        <w:t xml:space="preserve"> should also ensure that it identifies and collects the data </w:t>
      </w:r>
      <w:r w:rsidR="008A31EF">
        <w:t>required</w:t>
      </w:r>
      <w:r w:rsidR="005316ED">
        <w:t xml:space="preserve"> to transparently and fairly recover costs.</w:t>
      </w:r>
    </w:p>
    <w:p w14:paraId="70203024" w14:textId="245ACC00" w:rsidR="00AD7E81" w:rsidRDefault="005E000E" w:rsidP="006E7A32">
      <w:pPr>
        <w:pStyle w:val="BoxHeading"/>
      </w:pPr>
      <w:r>
        <w:t xml:space="preserve">Moss </w:t>
      </w:r>
      <w:r w:rsidR="00103977">
        <w:t xml:space="preserve">Review </w:t>
      </w:r>
      <w:r>
        <w:t>r</w:t>
      </w:r>
      <w:r w:rsidR="008E3B98" w:rsidRPr="008E3B98">
        <w:t>ecommendation 17</w:t>
      </w:r>
    </w:p>
    <w:p w14:paraId="3F51589B" w14:textId="4A50D984" w:rsidR="008E3B98" w:rsidRPr="00141865" w:rsidRDefault="008E3B98" w:rsidP="006E7A32">
      <w:pPr>
        <w:pStyle w:val="BoxText"/>
      </w:pPr>
      <w:r w:rsidRPr="008E3B98">
        <w:t xml:space="preserve">That the department implement fully integrated information sharing between the divisions and branches that regulate live animal exports when developing its client </w:t>
      </w:r>
      <w:r w:rsidRPr="007A5762">
        <w:t>relationship management system and other information technology.</w:t>
      </w:r>
    </w:p>
    <w:p w14:paraId="246DAB18" w14:textId="04DB29B9" w:rsidR="00AD7E81" w:rsidRPr="006E7A32" w:rsidRDefault="00AD7E81" w:rsidP="006E7A32">
      <w:pPr>
        <w:pStyle w:val="BoxText"/>
        <w:keepNext/>
        <w:rPr>
          <w:b/>
          <w:bCs/>
        </w:rPr>
      </w:pPr>
      <w:r w:rsidRPr="008E3402">
        <w:rPr>
          <w:rStyle w:val="Strong"/>
        </w:rPr>
        <w:t>Implementation status</w:t>
      </w:r>
    </w:p>
    <w:p w14:paraId="2EC1184A" w14:textId="4486849E" w:rsidR="008E3B98" w:rsidRPr="006E7A32" w:rsidRDefault="008E3B98" w:rsidP="006E7A32">
      <w:pPr>
        <w:pStyle w:val="BoxTextBullet"/>
      </w:pPr>
      <w:r w:rsidRPr="006E7A32">
        <w:t xml:space="preserve">Department’s </w:t>
      </w:r>
      <w:r w:rsidR="00AD7E81">
        <w:t>assessment</w:t>
      </w:r>
      <w:r w:rsidRPr="006E7A32">
        <w:t>: In progress</w:t>
      </w:r>
      <w:r w:rsidR="003B5F7D">
        <w:t xml:space="preserve"> (</w:t>
      </w:r>
      <w:r w:rsidRPr="006E7A32">
        <w:t>on hold)</w:t>
      </w:r>
    </w:p>
    <w:p w14:paraId="7B1ED658" w14:textId="7BA7AE24" w:rsidR="00AD7E81" w:rsidRPr="006E7A32" w:rsidRDefault="008A5824" w:rsidP="006E7A32">
      <w:pPr>
        <w:pStyle w:val="BoxTextBullet"/>
      </w:pPr>
      <w:r>
        <w:t>Inspector-</w:t>
      </w:r>
      <w:r w:rsidR="00C15895">
        <w:t>g</w:t>
      </w:r>
      <w:r>
        <w:t>eneral’s assessment:</w:t>
      </w:r>
      <w:r w:rsidR="00AD7E81" w:rsidRPr="006E7A32">
        <w:t xml:space="preserve"> In progress (on hold)</w:t>
      </w:r>
    </w:p>
    <w:p w14:paraId="35A94D51" w14:textId="5F9CFB1F" w:rsidR="000975F5" w:rsidRDefault="008E3B98" w:rsidP="006E7A32">
      <w:pPr>
        <w:pStyle w:val="BoxText"/>
      </w:pPr>
      <w:r w:rsidRPr="008E3B98">
        <w:t>On hold due to larger departmental budget constraints.</w:t>
      </w:r>
    </w:p>
    <w:p w14:paraId="5BB126A4" w14:textId="77777777" w:rsidR="00AD7E81" w:rsidRDefault="00AD7E81" w:rsidP="00DE0898">
      <w:pPr>
        <w:rPr>
          <w:b/>
          <w:bCs/>
        </w:rPr>
      </w:pPr>
    </w:p>
    <w:p w14:paraId="40F42B06" w14:textId="1AB57BAA" w:rsidR="00AD7E81" w:rsidRPr="00095548" w:rsidRDefault="005E000E" w:rsidP="00171170">
      <w:pPr>
        <w:pStyle w:val="BoxHeading"/>
        <w:keepNext/>
      </w:pPr>
      <w:r w:rsidRPr="00141865">
        <w:lastRenderedPageBreak/>
        <w:t xml:space="preserve">Moss </w:t>
      </w:r>
      <w:r w:rsidR="00103977" w:rsidRPr="008A31EF">
        <w:t xml:space="preserve">Review </w:t>
      </w:r>
      <w:r w:rsidRPr="00141865">
        <w:t>r</w:t>
      </w:r>
      <w:r w:rsidR="00DE0898" w:rsidRPr="00B7620F">
        <w:t>ecommendation 23</w:t>
      </w:r>
    </w:p>
    <w:p w14:paraId="4A22EF5A" w14:textId="3F55F303" w:rsidR="00DE0898" w:rsidRDefault="00DE0898" w:rsidP="00171170">
      <w:pPr>
        <w:pStyle w:val="BoxText"/>
        <w:keepNext/>
      </w:pPr>
      <w:r w:rsidRPr="008A31EF">
        <w:t>That the department invest in information technology systems to achieve enhanced information management in relation to live animal exports.</w:t>
      </w:r>
    </w:p>
    <w:p w14:paraId="4FA84F84" w14:textId="179C2B2C" w:rsidR="00AD7E81" w:rsidRPr="006E7A32" w:rsidRDefault="00AD7E81" w:rsidP="00171170">
      <w:pPr>
        <w:pStyle w:val="BoxText"/>
        <w:keepNext/>
        <w:rPr>
          <w:rStyle w:val="Strong"/>
        </w:rPr>
      </w:pPr>
      <w:r w:rsidRPr="006E7A32">
        <w:rPr>
          <w:rStyle w:val="Strong"/>
        </w:rPr>
        <w:t>Implementation status</w:t>
      </w:r>
    </w:p>
    <w:p w14:paraId="3945361F" w14:textId="01D7793E" w:rsidR="00DE0898" w:rsidRPr="006E7A32" w:rsidRDefault="00DE0898" w:rsidP="00171170">
      <w:pPr>
        <w:pStyle w:val="BoxTextBullet"/>
        <w:keepNext/>
      </w:pPr>
      <w:r w:rsidRPr="006E7A32">
        <w:t xml:space="preserve">Department’s </w:t>
      </w:r>
      <w:r w:rsidR="00AD7E81">
        <w:t>assessment</w:t>
      </w:r>
      <w:r w:rsidRPr="006E7A32">
        <w:t xml:space="preserve">: </w:t>
      </w:r>
      <w:r w:rsidR="00E82B8E">
        <w:t xml:space="preserve">Ongoing (2019) </w:t>
      </w:r>
      <w:r w:rsidRPr="006E7A32">
        <w:t xml:space="preserve">In </w:t>
      </w:r>
      <w:r w:rsidR="00E82B8E">
        <w:t>p</w:t>
      </w:r>
      <w:r w:rsidRPr="006E7A32">
        <w:t>rogress</w:t>
      </w:r>
      <w:r w:rsidR="000975F5" w:rsidRPr="006E7A32">
        <w:t xml:space="preserve"> </w:t>
      </w:r>
      <w:r w:rsidR="00BA06A4">
        <w:t>(</w:t>
      </w:r>
      <w:r w:rsidRPr="006E7A32">
        <w:t>on hold</w:t>
      </w:r>
      <w:r w:rsidR="00E82B8E">
        <w:t xml:space="preserve"> 2020</w:t>
      </w:r>
      <w:r w:rsidR="00BA06A4">
        <w:t>)</w:t>
      </w:r>
    </w:p>
    <w:p w14:paraId="64423AF3" w14:textId="5522F710" w:rsidR="00AD7E81" w:rsidRPr="006E7A32" w:rsidRDefault="008A5824" w:rsidP="00171170">
      <w:pPr>
        <w:pStyle w:val="BoxTextBullet"/>
        <w:keepNext/>
      </w:pPr>
      <w:r>
        <w:t>Inspector-General’s assessment:</w:t>
      </w:r>
      <w:r w:rsidR="000E000B">
        <w:t xml:space="preserve"> In progress (on hold)</w:t>
      </w:r>
    </w:p>
    <w:p w14:paraId="3B07DDEA" w14:textId="0588FFDC" w:rsidR="000975F5" w:rsidRDefault="00DE0898" w:rsidP="00171170">
      <w:pPr>
        <w:pStyle w:val="BoxText"/>
        <w:keepNext/>
      </w:pPr>
      <w:r w:rsidRPr="008E3B98">
        <w:t>On hold due to larger departmental budget constraints.</w:t>
      </w:r>
    </w:p>
    <w:p w14:paraId="05C49BCC" w14:textId="038335B4" w:rsidR="00302EB5" w:rsidRDefault="00302EB5" w:rsidP="006F553B">
      <w:pPr>
        <w:pStyle w:val="Heading4"/>
      </w:pPr>
      <w:r>
        <w:t xml:space="preserve">Department’s response: Support </w:t>
      </w:r>
      <w:r w:rsidR="00E82B8E">
        <w:t>r</w:t>
      </w:r>
      <w:r>
        <w:t xml:space="preserve">ecommendation 17, Support in principle </w:t>
      </w:r>
      <w:r w:rsidR="00E82B8E">
        <w:t>r</w:t>
      </w:r>
      <w:r>
        <w:t>ecommendation 23</w:t>
      </w:r>
    </w:p>
    <w:p w14:paraId="1997EA47" w14:textId="5E4F7D02" w:rsidR="000E000B" w:rsidRDefault="000E000B" w:rsidP="00B554CA">
      <w:pPr>
        <w:pStyle w:val="Heading4"/>
      </w:pPr>
      <w:r w:rsidRPr="00FF1775">
        <w:t>Inspector-</w:t>
      </w:r>
      <w:r w:rsidR="00C15895">
        <w:t>g</w:t>
      </w:r>
      <w:r w:rsidRPr="00FF1775">
        <w:t>eneral</w:t>
      </w:r>
      <w:r w:rsidR="008515DB" w:rsidRPr="00FF1775">
        <w:t>’s</w:t>
      </w:r>
      <w:r w:rsidRPr="00FF1775">
        <w:t xml:space="preserve"> assessment</w:t>
      </w:r>
    </w:p>
    <w:p w14:paraId="6AE85AE7" w14:textId="07F1A791" w:rsidR="00136822" w:rsidRDefault="00136822" w:rsidP="00D73027">
      <w:pPr>
        <w:keepNext/>
      </w:pPr>
      <w:r w:rsidRPr="008E3B98">
        <w:t xml:space="preserve">The </w:t>
      </w:r>
      <w:r w:rsidR="00572DB5">
        <w:t>i</w:t>
      </w:r>
      <w:r w:rsidR="00384D6C">
        <w:t>nspector-</w:t>
      </w:r>
      <w:r w:rsidR="00572DB5">
        <w:t>g</w:t>
      </w:r>
      <w:r w:rsidR="00384D6C">
        <w:t>eneral</w:t>
      </w:r>
      <w:r w:rsidR="00384D6C" w:rsidRPr="008E3B98">
        <w:t xml:space="preserve"> </w:t>
      </w:r>
      <w:r w:rsidRPr="008E3B98">
        <w:t xml:space="preserve">considers </w:t>
      </w:r>
      <w:r w:rsidR="00445C60">
        <w:t>Moss Review recommendations</w:t>
      </w:r>
      <w:r>
        <w:t xml:space="preserve"> 17 and 23 </w:t>
      </w:r>
      <w:r w:rsidRPr="008E3B98">
        <w:t>to be priority action</w:t>
      </w:r>
      <w:r>
        <w:t>s</w:t>
      </w:r>
      <w:r w:rsidRPr="008E3B98">
        <w:t xml:space="preserve"> the department should pursue </w:t>
      </w:r>
      <w:r w:rsidR="008A31EF">
        <w:t>because</w:t>
      </w:r>
      <w:r w:rsidRPr="008E3B98">
        <w:t xml:space="preserve"> it also impacts the effectiveness of implementing</w:t>
      </w:r>
      <w:r w:rsidR="00BA4406">
        <w:t xml:space="preserve"> </w:t>
      </w:r>
      <w:r w:rsidR="00445C60">
        <w:t>Moss Review recommendations</w:t>
      </w:r>
      <w:r w:rsidRPr="008E3B98">
        <w:t xml:space="preserve"> 5, 6, 9</w:t>
      </w:r>
      <w:r>
        <w:t xml:space="preserve"> and</w:t>
      </w:r>
      <w:r w:rsidRPr="008E3B98">
        <w:t xml:space="preserve"> 10.</w:t>
      </w:r>
      <w:r w:rsidR="00BC6DC3">
        <w:t xml:space="preserve"> </w:t>
      </w:r>
      <w:r>
        <w:t xml:space="preserve">This is a view </w:t>
      </w:r>
      <w:r w:rsidR="008A31EF">
        <w:t>shared</w:t>
      </w:r>
      <w:r>
        <w:t xml:space="preserve"> by </w:t>
      </w:r>
      <w:r w:rsidR="00DE00AC">
        <w:t xml:space="preserve">the </w:t>
      </w:r>
      <w:r>
        <w:t>industry:</w:t>
      </w:r>
    </w:p>
    <w:p w14:paraId="6EF4476D" w14:textId="6C28F340" w:rsidR="00136822" w:rsidRDefault="00136822" w:rsidP="00D73027">
      <w:pPr>
        <w:pStyle w:val="Quote"/>
        <w:keepNext/>
      </w:pPr>
      <w:r w:rsidRPr="000D53BB">
        <w:t>The systems and processes used internally by DAWE appear to be predominately paper-based and archaic,</w:t>
      </w:r>
      <w:r>
        <w:t xml:space="preserve"> </w:t>
      </w:r>
      <w:r w:rsidRPr="000D53BB">
        <w:t>which lends itself to being inefficient, slow and backwards-looking. This may be as a result of a lack of</w:t>
      </w:r>
      <w:r>
        <w:t xml:space="preserve"> </w:t>
      </w:r>
      <w:r w:rsidRPr="000D53BB">
        <w:t>investment by DAWE into information technology solutions. Maintaining contemporary systems and</w:t>
      </w:r>
      <w:r>
        <w:t xml:space="preserve"> </w:t>
      </w:r>
      <w:r w:rsidRPr="000D53BB">
        <w:t xml:space="preserve">processes is DAWE’s </w:t>
      </w:r>
      <w:r>
        <w:t>r</w:t>
      </w:r>
      <w:r w:rsidRPr="000D53BB">
        <w:t>esponsibility and appropriated funding is therefore required to rectify the situation.</w:t>
      </w:r>
      <w:r>
        <w:t xml:space="preserve"> </w:t>
      </w:r>
      <w:r w:rsidRPr="001D71C2">
        <w:t>(</w:t>
      </w:r>
      <w:r w:rsidR="007E106B">
        <w:t>ALEC 2020</w:t>
      </w:r>
      <w:r w:rsidRPr="001D71C2">
        <w:t>).</w:t>
      </w:r>
    </w:p>
    <w:p w14:paraId="4EF9B557" w14:textId="5CB6079E" w:rsidR="00DE0898" w:rsidRPr="008E3B98" w:rsidRDefault="008A31EF" w:rsidP="00DE0898">
      <w:r>
        <w:t>In its 2020–21</w:t>
      </w:r>
      <w:r w:rsidR="004D39A8">
        <w:t>,</w:t>
      </w:r>
      <w:r>
        <w:t xml:space="preserve"> </w:t>
      </w:r>
      <w:r w:rsidR="004D39A8">
        <w:t>‘</w:t>
      </w:r>
      <w:r>
        <w:t>Busting Congestion for Agricultural Exporters package</w:t>
      </w:r>
      <w:r w:rsidR="004D39A8">
        <w:t>’</w:t>
      </w:r>
      <w:r>
        <w:t>,</w:t>
      </w:r>
      <w:r w:rsidRPr="008E3B98" w:rsidDel="008A31EF">
        <w:t xml:space="preserve"> </w:t>
      </w:r>
      <w:r>
        <w:t>t</w:t>
      </w:r>
      <w:r w:rsidR="00030048">
        <w:t xml:space="preserve">he </w:t>
      </w:r>
      <w:r w:rsidR="004D39A8">
        <w:t>Australian G</w:t>
      </w:r>
      <w:r w:rsidR="00030048">
        <w:t xml:space="preserve">overnment announced investment in improving the </w:t>
      </w:r>
      <w:r w:rsidR="00DE0898" w:rsidRPr="008E3B98">
        <w:t>department</w:t>
      </w:r>
      <w:r w:rsidR="00030048">
        <w:t>’s</w:t>
      </w:r>
      <w:r w:rsidR="00C854A7">
        <w:t xml:space="preserve"> </w:t>
      </w:r>
      <w:r w:rsidR="00030048">
        <w:t>agricultural exports approach, including processes and</w:t>
      </w:r>
      <w:r w:rsidR="00DE0898" w:rsidRPr="008E3B98">
        <w:t xml:space="preserve"> IT systems</w:t>
      </w:r>
      <w:r w:rsidR="00BA4406">
        <w:t>. T</w:t>
      </w:r>
      <w:r w:rsidR="00DE0898">
        <w:t xml:space="preserve">he </w:t>
      </w:r>
      <w:r w:rsidR="002C60D3">
        <w:t xml:space="preserve">poor </w:t>
      </w:r>
      <w:r w:rsidR="00DE0898">
        <w:t>functionality of current systems is a major barrier to improving regulatory practice in terms of effectiveness and efficiency</w:t>
      </w:r>
      <w:r>
        <w:t xml:space="preserve"> and places a </w:t>
      </w:r>
      <w:r w:rsidR="00DE0898">
        <w:t xml:space="preserve">burden on industry. </w:t>
      </w:r>
      <w:r>
        <w:t>Improving these systems and processes</w:t>
      </w:r>
      <w:r w:rsidR="00DE0898">
        <w:t xml:space="preserve"> is critical to:</w:t>
      </w:r>
    </w:p>
    <w:p w14:paraId="28936318" w14:textId="66BB9DB3" w:rsidR="00767226" w:rsidRDefault="00767226" w:rsidP="00767226">
      <w:pPr>
        <w:pStyle w:val="ListBullet"/>
      </w:pPr>
      <w:r>
        <w:t xml:space="preserve">support regulatory operations and </w:t>
      </w:r>
      <w:r w:rsidR="008A31EF">
        <w:t>build</w:t>
      </w:r>
      <w:r>
        <w:t xml:space="preserve"> knowledge on animal health and welfare</w:t>
      </w:r>
      <w:r w:rsidR="000974F5">
        <w:t xml:space="preserve"> through effective use of data and information analysis</w:t>
      </w:r>
    </w:p>
    <w:p w14:paraId="394D4897" w14:textId="5F3D7D38" w:rsidR="00767226" w:rsidRDefault="008A31EF" w:rsidP="00767226">
      <w:pPr>
        <w:pStyle w:val="ListBullet"/>
      </w:pPr>
      <w:r>
        <w:t>enable</w:t>
      </w:r>
      <w:r w:rsidR="00D0634C">
        <w:t xml:space="preserve"> </w:t>
      </w:r>
      <w:r w:rsidR="00767226">
        <w:t xml:space="preserve">disparate parts of the department </w:t>
      </w:r>
      <w:r w:rsidR="007D687E">
        <w:t xml:space="preserve">to operate </w:t>
      </w:r>
      <w:r w:rsidR="00461B74">
        <w:t xml:space="preserve">together more </w:t>
      </w:r>
      <w:r w:rsidR="00767226">
        <w:t>effectively through real</w:t>
      </w:r>
      <w:r>
        <w:t>-</w:t>
      </w:r>
      <w:r w:rsidR="00767226">
        <w:t>time access to all relevant records, policy</w:t>
      </w:r>
      <w:r w:rsidR="00D45240">
        <w:t>,</w:t>
      </w:r>
      <w:r w:rsidR="00767226">
        <w:t xml:space="preserve"> guidance and procedures</w:t>
      </w:r>
    </w:p>
    <w:p w14:paraId="64E69D86" w14:textId="77777777" w:rsidR="00767226" w:rsidRDefault="00767226" w:rsidP="00767226">
      <w:pPr>
        <w:pStyle w:val="ListBullet"/>
      </w:pPr>
      <w:r>
        <w:t>reduce delays and duplication for industry through streamlined application processes and decisions.</w:t>
      </w:r>
    </w:p>
    <w:p w14:paraId="5C3757B9" w14:textId="41716406" w:rsidR="00D27B7A" w:rsidRDefault="00DE0898" w:rsidP="00DE0898">
      <w:pPr>
        <w:spacing w:after="120"/>
      </w:pPr>
      <w:r>
        <w:t xml:space="preserve">However, </w:t>
      </w:r>
      <w:r w:rsidR="00D0634C">
        <w:t xml:space="preserve">successful delivery of this </w:t>
      </w:r>
      <w:r>
        <w:t xml:space="preserve">investment should be supported by a sound business case that is clear on the benefits </w:t>
      </w:r>
      <w:r w:rsidR="00461B74">
        <w:t>of</w:t>
      </w:r>
      <w:r w:rsidR="005A4A25">
        <w:t xml:space="preserve"> </w:t>
      </w:r>
      <w:r w:rsidR="00767226">
        <w:t xml:space="preserve">improvements </w:t>
      </w:r>
      <w:r w:rsidR="005A4A25">
        <w:t>to</w:t>
      </w:r>
      <w:r w:rsidR="00767226">
        <w:t xml:space="preserve"> regulatory operations</w:t>
      </w:r>
      <w:r w:rsidR="005A4A25">
        <w:t>,</w:t>
      </w:r>
      <w:r>
        <w:t xml:space="preserve"> and the capability and governance that will be deployed to deliver </w:t>
      </w:r>
      <w:r w:rsidR="002C60D3">
        <w:t xml:space="preserve">the </w:t>
      </w:r>
      <w:r w:rsidR="005A4A25">
        <w:t>new</w:t>
      </w:r>
      <w:r>
        <w:t xml:space="preserve"> system</w:t>
      </w:r>
      <w:r w:rsidR="00BA5D6C">
        <w:t>s</w:t>
      </w:r>
      <w:r w:rsidR="00D0634C">
        <w:t xml:space="preserve"> and their</w:t>
      </w:r>
      <w:r>
        <w:t xml:space="preserve"> benefits.</w:t>
      </w:r>
      <w:r w:rsidR="00D0634C">
        <w:t xml:space="preserve"> </w:t>
      </w:r>
      <w:r w:rsidR="005A4A25">
        <w:t>I</w:t>
      </w:r>
      <w:r w:rsidR="00D0634C">
        <w:t>t is critical that the department deliver this functionality based on a sound enterprise</w:t>
      </w:r>
      <w:r w:rsidR="005A4A25">
        <w:t>-</w:t>
      </w:r>
      <w:r w:rsidR="007C2643">
        <w:t>wide IT architecture</w:t>
      </w:r>
      <w:r w:rsidR="005A4A25">
        <w:t xml:space="preserve"> that is configured to meet the needs of live</w:t>
      </w:r>
      <w:r w:rsidR="00BD7FC4">
        <w:t>stock</w:t>
      </w:r>
      <w:r w:rsidR="005A4A25">
        <w:t xml:space="preserve"> animal exports</w:t>
      </w:r>
      <w:r w:rsidR="007C2643">
        <w:t>. This will require intensive business</w:t>
      </w:r>
      <w:r w:rsidR="005A4A25">
        <w:t>-</w:t>
      </w:r>
      <w:r w:rsidR="007C2643">
        <w:t>led development, including industry user co-design for any external interfaces such as licence and permit applications and reporting.</w:t>
      </w:r>
      <w:r w:rsidR="00BC6DC3">
        <w:t xml:space="preserve"> </w:t>
      </w:r>
      <w:r w:rsidR="002878E0">
        <w:t>In fulfilling its role as the business lead in system configuration</w:t>
      </w:r>
      <w:r w:rsidR="005A4A25">
        <w:t>, the</w:t>
      </w:r>
      <w:r w:rsidR="006E7A32">
        <w:t xml:space="preserve"> Plant and</w:t>
      </w:r>
      <w:r w:rsidR="002878E0">
        <w:t xml:space="preserve"> Live Animal Exports Division must ensure that it has detailed business process maps and standard operating procedures.</w:t>
      </w:r>
    </w:p>
    <w:p w14:paraId="7FD3ABA4" w14:textId="14B3C87E" w:rsidR="00F44A32" w:rsidRPr="00B554CA" w:rsidRDefault="00F44A32" w:rsidP="00B554CA">
      <w:pPr>
        <w:pStyle w:val="BoxHeading"/>
        <w:rPr>
          <w:rStyle w:val="Strong"/>
          <w:b/>
          <w:bCs w:val="0"/>
        </w:rPr>
      </w:pPr>
      <w:r w:rsidRPr="00B554CA">
        <w:rPr>
          <w:rStyle w:val="Strong"/>
          <w:b/>
          <w:bCs w:val="0"/>
        </w:rPr>
        <w:lastRenderedPageBreak/>
        <w:t>Inspector-</w:t>
      </w:r>
      <w:r w:rsidR="00A00605" w:rsidRPr="00B554CA">
        <w:rPr>
          <w:rStyle w:val="Strong"/>
          <w:b/>
          <w:bCs w:val="0"/>
        </w:rPr>
        <w:t>g</w:t>
      </w:r>
      <w:r w:rsidRPr="00B554CA">
        <w:rPr>
          <w:rStyle w:val="Strong"/>
          <w:b/>
          <w:bCs w:val="0"/>
        </w:rPr>
        <w:t>eneral recommendation 2</w:t>
      </w:r>
    </w:p>
    <w:p w14:paraId="766CAE82" w14:textId="7F0D79C9" w:rsidR="00F44A32" w:rsidRPr="00F44A32" w:rsidRDefault="00F44A32" w:rsidP="00B554CA">
      <w:pPr>
        <w:pStyle w:val="BoxText"/>
      </w:pPr>
      <w:r w:rsidRPr="00F44A32">
        <w:t xml:space="preserve">The department should ensure that the investment in improved IT infrastructure announced in the 2020–21 </w:t>
      </w:r>
      <w:r w:rsidR="00D7624A">
        <w:t>B</w:t>
      </w:r>
      <w:r w:rsidRPr="00F44A32">
        <w:t>udget:</w:t>
      </w:r>
    </w:p>
    <w:p w14:paraId="426F9BDA" w14:textId="77777777" w:rsidR="00F44A32" w:rsidRPr="00F44A32" w:rsidRDefault="00F44A32" w:rsidP="00B554CA">
      <w:pPr>
        <w:pStyle w:val="BoxTextBullet"/>
      </w:pPr>
      <w:r w:rsidRPr="00F44A32">
        <w:t>delivers improved regulatory operations and knowledge on animal health and welfare through effective use of data and information analysis</w:t>
      </w:r>
    </w:p>
    <w:p w14:paraId="74602B1E" w14:textId="4A1AEBF7" w:rsidR="00B554CA" w:rsidRPr="005B598F" w:rsidRDefault="00B554CA" w:rsidP="00B554CA">
      <w:pPr>
        <w:pStyle w:val="BoxTextBullet"/>
      </w:pPr>
      <w:r w:rsidRPr="005B598F">
        <w:t xml:space="preserve">enables disparate parts of the department to </w:t>
      </w:r>
      <w:r>
        <w:t>work</w:t>
      </w:r>
      <w:r w:rsidRPr="005B598F">
        <w:t xml:space="preserve"> more effectively through real-time access to all relevant records, policy, guidance and procedures</w:t>
      </w:r>
    </w:p>
    <w:p w14:paraId="0FA985C6" w14:textId="5CF49060" w:rsidR="00E938FD" w:rsidRPr="00E938FD" w:rsidRDefault="00F44A32" w:rsidP="00B554CA">
      <w:pPr>
        <w:pStyle w:val="BoxTextBullet"/>
        <w:rPr>
          <w:rStyle w:val="Strong"/>
        </w:rPr>
      </w:pPr>
      <w:r w:rsidRPr="00E938FD">
        <w:t xml:space="preserve">reduces delays and duplication for industry through streamlined application processes, </w:t>
      </w:r>
      <w:proofErr w:type="gramStart"/>
      <w:r w:rsidRPr="00E938FD">
        <w:t>decisions</w:t>
      </w:r>
      <w:proofErr w:type="gramEnd"/>
      <w:r w:rsidRPr="00E938FD">
        <w:t xml:space="preserve"> and reporting.</w:t>
      </w:r>
    </w:p>
    <w:p w14:paraId="60B6B9CD" w14:textId="77777777" w:rsidR="000D1703" w:rsidRDefault="000D1703" w:rsidP="008E3B98"/>
    <w:p w14:paraId="52C12A66" w14:textId="77777777" w:rsidR="000D1703" w:rsidRDefault="000D1703" w:rsidP="000D1703">
      <w:pPr>
        <w:pStyle w:val="BoxHeading"/>
      </w:pPr>
      <w:r>
        <w:t>Moss Review r</w:t>
      </w:r>
      <w:r w:rsidRPr="00BC6DC3">
        <w:t>ecom</w:t>
      </w:r>
      <w:r w:rsidRPr="008E3B98">
        <w:t>mendation 22</w:t>
      </w:r>
    </w:p>
    <w:p w14:paraId="57847EAB" w14:textId="77777777" w:rsidR="000D1703" w:rsidRPr="008E3B98" w:rsidRDefault="000D1703" w:rsidP="000D1703">
      <w:pPr>
        <w:pStyle w:val="BoxText"/>
      </w:pPr>
      <w:r w:rsidRPr="008E3B98">
        <w:t>That the department identify the skills and experience necessary to enhance its regulatory capability in relation to live animal exports and employ people with relevant skills and experience.</w:t>
      </w:r>
    </w:p>
    <w:p w14:paraId="10FC4A61" w14:textId="77777777" w:rsidR="000D1703" w:rsidRPr="008E3402" w:rsidRDefault="000D1703" w:rsidP="000D1703">
      <w:pPr>
        <w:pStyle w:val="BoxText"/>
        <w:keepNext/>
        <w:rPr>
          <w:rStyle w:val="Strong"/>
        </w:rPr>
      </w:pPr>
      <w:r w:rsidRPr="008E3402">
        <w:rPr>
          <w:rStyle w:val="Strong"/>
        </w:rPr>
        <w:t>Implementation status</w:t>
      </w:r>
    </w:p>
    <w:p w14:paraId="39BE2010" w14:textId="77F62C33" w:rsidR="000D1703" w:rsidRPr="00095548" w:rsidRDefault="000D1703" w:rsidP="000D1703">
      <w:pPr>
        <w:pStyle w:val="BoxTextBullet"/>
      </w:pPr>
      <w:r w:rsidRPr="007A5762">
        <w:t xml:space="preserve">Department’s </w:t>
      </w:r>
      <w:r w:rsidRPr="00141865">
        <w:t>assessment</w:t>
      </w:r>
      <w:r w:rsidRPr="00095548">
        <w:t xml:space="preserve">: </w:t>
      </w:r>
      <w:r w:rsidR="00E82B8E">
        <w:t xml:space="preserve">Complete (2019) </w:t>
      </w:r>
      <w:r w:rsidRPr="00095548">
        <w:t>Ongoing</w:t>
      </w:r>
      <w:r w:rsidR="00E82B8E">
        <w:t xml:space="preserve"> (2020)</w:t>
      </w:r>
    </w:p>
    <w:p w14:paraId="4DE0E1D3" w14:textId="5BFBB536" w:rsidR="000D1703" w:rsidRPr="00141865" w:rsidRDefault="000D1703" w:rsidP="000D1703">
      <w:pPr>
        <w:pStyle w:val="BoxTextBullet"/>
      </w:pPr>
      <w:r>
        <w:t>Inspector-</w:t>
      </w:r>
      <w:r w:rsidR="00A00605">
        <w:t>g</w:t>
      </w:r>
      <w:r>
        <w:t>eneral’s assessment:</w:t>
      </w:r>
      <w:r w:rsidRPr="00141865">
        <w:t xml:space="preserve"> Implemented – ongoing</w:t>
      </w:r>
    </w:p>
    <w:p w14:paraId="26A75B78" w14:textId="77777777" w:rsidR="00302EB5" w:rsidRDefault="00302EB5" w:rsidP="00B554CA">
      <w:pPr>
        <w:pStyle w:val="Heading4"/>
      </w:pPr>
      <w:r>
        <w:t>Department’s response: Support</w:t>
      </w:r>
    </w:p>
    <w:p w14:paraId="116E90DA" w14:textId="7D6CC58F" w:rsidR="008E3B98" w:rsidRPr="003238A7" w:rsidRDefault="008E3B98" w:rsidP="008E3B98">
      <w:r w:rsidRPr="003238A7">
        <w:t>Despite the whole</w:t>
      </w:r>
      <w:r w:rsidR="003238A7" w:rsidRPr="003238A7">
        <w:t>-</w:t>
      </w:r>
      <w:r w:rsidRPr="003238A7">
        <w:t>of</w:t>
      </w:r>
      <w:r w:rsidR="003238A7" w:rsidRPr="003238A7">
        <w:t>-</w:t>
      </w:r>
      <w:r w:rsidRPr="003238A7">
        <w:t xml:space="preserve">department budgetary constraints </w:t>
      </w:r>
      <w:r w:rsidR="00461B74">
        <w:t xml:space="preserve">on </w:t>
      </w:r>
      <w:r w:rsidRPr="003238A7">
        <w:t xml:space="preserve">recruitment, </w:t>
      </w:r>
      <w:r w:rsidR="003238A7" w:rsidRPr="003238A7">
        <w:t xml:space="preserve">the </w:t>
      </w:r>
      <w:r w:rsidR="00C12542">
        <w:t xml:space="preserve">Plant and </w:t>
      </w:r>
      <w:r w:rsidRPr="003238A7">
        <w:t>L</w:t>
      </w:r>
      <w:r w:rsidR="000A6B44" w:rsidRPr="003238A7">
        <w:t xml:space="preserve">ive </w:t>
      </w:r>
      <w:r w:rsidRPr="003238A7">
        <w:t>A</w:t>
      </w:r>
      <w:r w:rsidR="000A6B44" w:rsidRPr="003238A7">
        <w:t xml:space="preserve">nimal </w:t>
      </w:r>
      <w:r w:rsidRPr="003238A7">
        <w:t>E</w:t>
      </w:r>
      <w:r w:rsidR="000A6B44" w:rsidRPr="003238A7">
        <w:t xml:space="preserve">xports </w:t>
      </w:r>
      <w:r w:rsidRPr="003238A7">
        <w:t>D</w:t>
      </w:r>
      <w:r w:rsidR="000A6B44" w:rsidRPr="003238A7">
        <w:t>ivision</w:t>
      </w:r>
      <w:r w:rsidRPr="003238A7">
        <w:t xml:space="preserve"> has increased the number of veterinary and technical analysis staff. Since the October 2019 update, </w:t>
      </w:r>
      <w:r w:rsidR="003238A7" w:rsidRPr="003238A7">
        <w:t xml:space="preserve">the division has or is planning to provide </w:t>
      </w:r>
      <w:r w:rsidRPr="003238A7">
        <w:t>training, learning and develop</w:t>
      </w:r>
      <w:r w:rsidR="003238A7" w:rsidRPr="003238A7">
        <w:t>ment</w:t>
      </w:r>
      <w:r w:rsidRPr="003238A7">
        <w:t xml:space="preserve"> activities </w:t>
      </w:r>
      <w:r w:rsidR="003238A7" w:rsidRPr="003238A7">
        <w:t>for its staff</w:t>
      </w:r>
      <w:r w:rsidRPr="003238A7">
        <w:t>.</w:t>
      </w:r>
    </w:p>
    <w:p w14:paraId="01574647" w14:textId="65E7ECD0" w:rsidR="00955B28" w:rsidRPr="008E3B98" w:rsidRDefault="00955B28" w:rsidP="008E3B98">
      <w:r w:rsidRPr="00955B28">
        <w:t xml:space="preserve">The </w:t>
      </w:r>
      <w:r w:rsidRPr="00C12542">
        <w:t>Live Animal Export Branch</w:t>
      </w:r>
      <w:r w:rsidRPr="00955B28">
        <w:t xml:space="preserve"> has</w:t>
      </w:r>
      <w:r w:rsidRPr="008E3B98">
        <w:t xml:space="preserve"> committed to providing the </w:t>
      </w:r>
      <w:r w:rsidR="00C1797A">
        <w:t>Regulatory Performance team</w:t>
      </w:r>
      <w:r w:rsidRPr="008E3B98">
        <w:t xml:space="preserve"> </w:t>
      </w:r>
      <w:r>
        <w:t xml:space="preserve">with training in </w:t>
      </w:r>
      <w:r w:rsidRPr="008E3B98">
        <w:t xml:space="preserve">Certificate IV </w:t>
      </w:r>
      <w:r>
        <w:t>in</w:t>
      </w:r>
      <w:r w:rsidRPr="008E3B98">
        <w:t xml:space="preserve"> Government Investigations</w:t>
      </w:r>
      <w:r>
        <w:t xml:space="preserve"> (</w:t>
      </w:r>
      <w:r w:rsidRPr="008E3B98">
        <w:t>Regulatory Compliance</w:t>
      </w:r>
      <w:r>
        <w:t>)</w:t>
      </w:r>
      <w:r w:rsidRPr="008E3B98">
        <w:t xml:space="preserve">. </w:t>
      </w:r>
      <w:r>
        <w:t>T</w:t>
      </w:r>
      <w:r w:rsidRPr="008E3B98">
        <w:t>he team has amended the way it provides investigation report</w:t>
      </w:r>
      <w:r w:rsidR="00461B74">
        <w:t>s</w:t>
      </w:r>
      <w:r w:rsidRPr="008E3B98">
        <w:t xml:space="preserve"> to the decision</w:t>
      </w:r>
      <w:r>
        <w:t>-</w:t>
      </w:r>
      <w:r w:rsidRPr="008E3B98">
        <w:t>maker</w:t>
      </w:r>
      <w:r w:rsidRPr="00F217CB">
        <w:t>. The basis of the investigation outcomes and the recommended penalties and corrective action</w:t>
      </w:r>
      <w:r w:rsidRPr="006C2428">
        <w:t xml:space="preserve"> are now more clearly presented</w:t>
      </w:r>
      <w:r w:rsidRPr="00F217CB">
        <w:t>.</w:t>
      </w:r>
    </w:p>
    <w:p w14:paraId="213CADCD" w14:textId="302E7C91" w:rsidR="000975F5" w:rsidRDefault="008E3B98" w:rsidP="008E3B98">
      <w:r w:rsidRPr="008E3B98">
        <w:t>During 2020, the L</w:t>
      </w:r>
      <w:r w:rsidR="000A6B44">
        <w:t xml:space="preserve">ive </w:t>
      </w:r>
      <w:r w:rsidRPr="008E3B98">
        <w:t>A</w:t>
      </w:r>
      <w:r w:rsidR="000A6B44">
        <w:t xml:space="preserve">nimal </w:t>
      </w:r>
      <w:r w:rsidRPr="008E3B98">
        <w:t>E</w:t>
      </w:r>
      <w:r w:rsidR="000A6B44">
        <w:t>xport</w:t>
      </w:r>
      <w:r w:rsidRPr="008E3B98">
        <w:t xml:space="preserve"> Branch </w:t>
      </w:r>
      <w:r w:rsidR="00626909">
        <w:t>will</w:t>
      </w:r>
      <w:r w:rsidRPr="008E3B98">
        <w:t xml:space="preserve"> run an EL1 leadership program to enhance leadership skills in a regulatory context.</w:t>
      </w:r>
    </w:p>
    <w:p w14:paraId="2FE45908" w14:textId="3207B58B" w:rsidR="000975F5" w:rsidRDefault="006138A2" w:rsidP="008E3B98">
      <w:r w:rsidRPr="00C12542">
        <w:t>The Animal Welfare Branch includes</w:t>
      </w:r>
      <w:r w:rsidR="006B55F2">
        <w:t xml:space="preserve"> 4</w:t>
      </w:r>
      <w:r w:rsidRPr="00C12542">
        <w:t xml:space="preserve"> </w:t>
      </w:r>
      <w:r w:rsidR="008E3B98" w:rsidRPr="006138A2">
        <w:t xml:space="preserve">technical officers, </w:t>
      </w:r>
      <w:r>
        <w:t xml:space="preserve">and </w:t>
      </w:r>
      <w:r w:rsidR="008E3B98" w:rsidRPr="006138A2">
        <w:t>7 qualified veterinarians with a high level of technical veterinary knowledge of livestock behaviour, physiology and welfare</w:t>
      </w:r>
      <w:r>
        <w:t xml:space="preserve">. The veterinarians have experience in </w:t>
      </w:r>
      <w:r w:rsidR="00AD6CE7">
        <w:t xml:space="preserve">the </w:t>
      </w:r>
      <w:r w:rsidR="008E3B98" w:rsidRPr="006138A2">
        <w:t>live</w:t>
      </w:r>
      <w:r w:rsidR="00C1797A">
        <w:t>stock</w:t>
      </w:r>
      <w:r w:rsidR="008E3B98" w:rsidRPr="006138A2">
        <w:t xml:space="preserve"> industr</w:t>
      </w:r>
      <w:r w:rsidR="00AD6CE7">
        <w:t>y</w:t>
      </w:r>
      <w:r w:rsidR="008E3B98" w:rsidRPr="006138A2">
        <w:t>, and skills and expertise in areas including systems verification. Th</w:t>
      </w:r>
      <w:r w:rsidR="00AD6CE7">
        <w:t>ese skills</w:t>
      </w:r>
      <w:r w:rsidR="008E3B98" w:rsidRPr="006138A2">
        <w:t xml:space="preserve"> support </w:t>
      </w:r>
      <w:r w:rsidR="00AD6CE7" w:rsidRPr="006C2428">
        <w:t>continual improvement</w:t>
      </w:r>
      <w:r w:rsidR="00AD6CE7">
        <w:t xml:space="preserve"> through the</w:t>
      </w:r>
      <w:r w:rsidR="00AD6CE7" w:rsidRPr="006138A2">
        <w:t xml:space="preserve"> </w:t>
      </w:r>
      <w:r w:rsidR="008E3B98" w:rsidRPr="006138A2">
        <w:t xml:space="preserve">provision of evidence-based technical analysis of animal welfare in </w:t>
      </w:r>
      <w:r w:rsidR="00626909">
        <w:t xml:space="preserve">relation to </w:t>
      </w:r>
      <w:r w:rsidR="008E3B98" w:rsidRPr="006138A2">
        <w:t>live animal exports.</w:t>
      </w:r>
      <w:r w:rsidR="001E6A44" w:rsidRPr="006138A2">
        <w:t xml:space="preserve"> </w:t>
      </w:r>
      <w:r w:rsidR="00AD6CE7">
        <w:t>T</w:t>
      </w:r>
      <w:r w:rsidR="00AD6CE7" w:rsidRPr="006C2428">
        <w:t>o build capacity in this area</w:t>
      </w:r>
      <w:r w:rsidR="00AD6CE7">
        <w:t>,</w:t>
      </w:r>
      <w:r w:rsidR="00AD6CE7" w:rsidRPr="006138A2">
        <w:t xml:space="preserve"> </w:t>
      </w:r>
      <w:r w:rsidR="00AD6CE7" w:rsidRPr="006C2428">
        <w:t>in March 2020</w:t>
      </w:r>
      <w:r w:rsidR="00AD6CE7">
        <w:t xml:space="preserve"> t</w:t>
      </w:r>
      <w:r w:rsidR="008E3B98" w:rsidRPr="006138A2">
        <w:t>he A</w:t>
      </w:r>
      <w:r w:rsidR="000A6B44" w:rsidRPr="006138A2">
        <w:t xml:space="preserve">nimal </w:t>
      </w:r>
      <w:r w:rsidR="008E3B98" w:rsidRPr="006138A2">
        <w:t>W</w:t>
      </w:r>
      <w:r w:rsidR="000A6B44" w:rsidRPr="006138A2">
        <w:t xml:space="preserve">elfare </w:t>
      </w:r>
      <w:r w:rsidR="008E3B98" w:rsidRPr="006138A2">
        <w:t>B</w:t>
      </w:r>
      <w:r w:rsidR="000A6B44" w:rsidRPr="006138A2">
        <w:t>ranch</w:t>
      </w:r>
      <w:r w:rsidR="008E3B98" w:rsidRPr="006138A2">
        <w:t xml:space="preserve"> ran</w:t>
      </w:r>
      <w:r w:rsidR="00626909">
        <w:t xml:space="preserve"> a</w:t>
      </w:r>
      <w:r w:rsidR="00C1797A">
        <w:t xml:space="preserve"> lead auditor</w:t>
      </w:r>
      <w:r w:rsidR="00626909">
        <w:t xml:space="preserve"> course on</w:t>
      </w:r>
      <w:r w:rsidR="008E3B98" w:rsidRPr="006138A2">
        <w:t xml:space="preserve"> ISO</w:t>
      </w:r>
      <w:r w:rsidR="00626909">
        <w:t> </w:t>
      </w:r>
      <w:r w:rsidR="008E3B98" w:rsidRPr="006138A2">
        <w:t>90</w:t>
      </w:r>
      <w:r w:rsidR="003E0D3F">
        <w:t>0</w:t>
      </w:r>
      <w:r w:rsidR="008E3B98" w:rsidRPr="006138A2">
        <w:t>1</w:t>
      </w:r>
      <w:r w:rsidR="003E0D3F">
        <w:t>Quality</w:t>
      </w:r>
      <w:r w:rsidR="00AD6CE7" w:rsidRPr="00AD6CE7">
        <w:t xml:space="preserve"> management systems</w:t>
      </w:r>
      <w:r w:rsidR="008E3B98" w:rsidRPr="006138A2">
        <w:t>.</w:t>
      </w:r>
    </w:p>
    <w:p w14:paraId="0226B0A6" w14:textId="561C4C72" w:rsidR="008E3B98" w:rsidRPr="008E3B98" w:rsidRDefault="00AD6CE7" w:rsidP="008E3B98">
      <w:r>
        <w:t xml:space="preserve">The </w:t>
      </w:r>
      <w:r w:rsidR="008E3B98" w:rsidRPr="008E3B98">
        <w:t>L</w:t>
      </w:r>
      <w:r w:rsidR="000A6B44">
        <w:t xml:space="preserve">ive </w:t>
      </w:r>
      <w:r w:rsidR="008E3B98" w:rsidRPr="008E3B98">
        <w:t>A</w:t>
      </w:r>
      <w:r w:rsidR="000A6B44">
        <w:t xml:space="preserve">nimal </w:t>
      </w:r>
      <w:r w:rsidR="008E3B98" w:rsidRPr="008E3B98">
        <w:t>E</w:t>
      </w:r>
      <w:r w:rsidR="000A6B44">
        <w:t>xport</w:t>
      </w:r>
      <w:r w:rsidR="008E3B98" w:rsidRPr="008E3B98">
        <w:t xml:space="preserve"> </w:t>
      </w:r>
      <w:r>
        <w:t xml:space="preserve">Branch </w:t>
      </w:r>
      <w:r w:rsidR="008E3B98" w:rsidRPr="008E3B98">
        <w:t>and A</w:t>
      </w:r>
      <w:r w:rsidR="000A6B44">
        <w:t xml:space="preserve">nimal </w:t>
      </w:r>
      <w:r w:rsidR="008E3B98" w:rsidRPr="008E3B98">
        <w:t>W</w:t>
      </w:r>
      <w:r w:rsidR="000A6B44">
        <w:t xml:space="preserve">elfare </w:t>
      </w:r>
      <w:r w:rsidR="008E3B98" w:rsidRPr="008E3B98">
        <w:t>B</w:t>
      </w:r>
      <w:r w:rsidR="000A6B44">
        <w:t>ranch</w:t>
      </w:r>
      <w:r w:rsidR="008E3B98" w:rsidRPr="008E3B98">
        <w:t xml:space="preserve"> developed and presented </w:t>
      </w:r>
      <w:r>
        <w:t xml:space="preserve">inductions </w:t>
      </w:r>
      <w:r w:rsidR="008E3B98" w:rsidRPr="008E3B98">
        <w:t>to support the</w:t>
      </w:r>
      <w:r w:rsidR="00626909">
        <w:t>ir</w:t>
      </w:r>
      <w:r w:rsidR="008E3B98" w:rsidRPr="008E3B98">
        <w:t xml:space="preserve"> larger recruitment processes</w:t>
      </w:r>
      <w:r w:rsidR="00C116A6">
        <w:t>. These sessions</w:t>
      </w:r>
      <w:r w:rsidR="008E3B98" w:rsidRPr="008E3B98">
        <w:t xml:space="preserve"> included </w:t>
      </w:r>
      <w:r w:rsidR="00626909">
        <w:t xml:space="preserve">an </w:t>
      </w:r>
      <w:r w:rsidR="008E3B98" w:rsidRPr="008E3B98">
        <w:lastRenderedPageBreak/>
        <w:t>i</w:t>
      </w:r>
      <w:r w:rsidR="002C60D3">
        <w:t>ntroduction from</w:t>
      </w:r>
      <w:r w:rsidR="008E3B98" w:rsidRPr="008E3B98">
        <w:t xml:space="preserve"> the SES, </w:t>
      </w:r>
      <w:r w:rsidR="00626909">
        <w:t xml:space="preserve">and </w:t>
      </w:r>
      <w:r w:rsidR="008E3B98" w:rsidRPr="008E3B98">
        <w:t>training on the regulatory framework, export supply chain and</w:t>
      </w:r>
      <w:r w:rsidR="00626909">
        <w:t xml:space="preserve"> relevant</w:t>
      </w:r>
      <w:r w:rsidR="008E3B98" w:rsidRPr="008E3B98">
        <w:t xml:space="preserve"> processes and systems. </w:t>
      </w:r>
      <w:r w:rsidR="00C116A6">
        <w:t>New staff received a</w:t>
      </w:r>
      <w:r w:rsidR="008E3B98" w:rsidRPr="008E3B98">
        <w:t xml:space="preserve"> starter guide with a range of </w:t>
      </w:r>
      <w:r w:rsidR="00C116A6">
        <w:t>relevant</w:t>
      </w:r>
      <w:r w:rsidR="00C116A6" w:rsidRPr="008E3B98">
        <w:t xml:space="preserve"> </w:t>
      </w:r>
      <w:r w:rsidR="008E3B98" w:rsidRPr="008E3B98">
        <w:t>resources.</w:t>
      </w:r>
    </w:p>
    <w:p w14:paraId="66384D4A" w14:textId="603F41AD" w:rsidR="000975F5" w:rsidRDefault="00C116A6" w:rsidP="008E3B98">
      <w:r>
        <w:t>T</w:t>
      </w:r>
      <w:r w:rsidR="008E3B98" w:rsidRPr="008E3B98">
        <w:t>he Principal Regulatory Office</w:t>
      </w:r>
      <w:r w:rsidR="00B40B0F">
        <w:t>r</w:t>
      </w:r>
      <w:r w:rsidR="008E3B98" w:rsidRPr="008E3B98">
        <w:t xml:space="preserve"> coordinated training for staff across the division to improve </w:t>
      </w:r>
      <w:r w:rsidR="00FC49BB">
        <w:t xml:space="preserve">the </w:t>
      </w:r>
      <w:r w:rsidR="008E3B98" w:rsidRPr="008E3B98">
        <w:t xml:space="preserve">capabilities and core skills </w:t>
      </w:r>
      <w:r w:rsidR="00FC49BB">
        <w:t xml:space="preserve">required </w:t>
      </w:r>
      <w:r w:rsidR="008E3B98" w:rsidRPr="008E3B98">
        <w:t>to perform functions in the A</w:t>
      </w:r>
      <w:r w:rsidR="00FC49BB">
        <w:t>ustralian Public Service</w:t>
      </w:r>
      <w:r w:rsidR="008E3B98" w:rsidRPr="008E3B98">
        <w:t>.</w:t>
      </w:r>
    </w:p>
    <w:p w14:paraId="1CCAF7A2" w14:textId="476D5D69" w:rsidR="008E3B98" w:rsidRPr="008E3B98" w:rsidRDefault="008E3B98" w:rsidP="008E3B98">
      <w:r w:rsidRPr="008E3B98">
        <w:t xml:space="preserve">The </w:t>
      </w:r>
      <w:r w:rsidR="00B40B0F" w:rsidRPr="008E3B98">
        <w:t>Principal Regulatory Office</w:t>
      </w:r>
      <w:r w:rsidR="00B40B0F">
        <w:t>r</w:t>
      </w:r>
      <w:r w:rsidRPr="008E3B98">
        <w:t xml:space="preserve"> is establishing a Diploma in Government</w:t>
      </w:r>
      <w:r w:rsidR="00B40B0F">
        <w:t xml:space="preserve"> that</w:t>
      </w:r>
      <w:r w:rsidRPr="008E3B98">
        <w:t xml:space="preserve"> will be delivered with a regulatory focus. This will support the regulatory capabilities outlined in the proposed Professional Regulator Capability Framework being developed by </w:t>
      </w:r>
      <w:r w:rsidR="00B40B0F">
        <w:t xml:space="preserve">the </w:t>
      </w:r>
      <w:r w:rsidRPr="008E3B98">
        <w:t>Compliance Division and People Division.</w:t>
      </w:r>
    </w:p>
    <w:p w14:paraId="18F9F15E" w14:textId="52B545BD" w:rsidR="000975F5" w:rsidRDefault="0043301C" w:rsidP="008E3B98">
      <w:r>
        <w:t>The Ve</w:t>
      </w:r>
      <w:r w:rsidR="00760A1C">
        <w:t xml:space="preserve">terinary and Export Meat </w:t>
      </w:r>
      <w:r w:rsidR="00E534F0">
        <w:t>Branch</w:t>
      </w:r>
      <w:r w:rsidR="00626909">
        <w:t xml:space="preserve"> </w:t>
      </w:r>
      <w:r w:rsidR="008E3B98" w:rsidRPr="008E3B98">
        <w:t>employ fully qualified and Australian registered veterinarians to complete inspection and certification of live animal exports and</w:t>
      </w:r>
      <w:r w:rsidR="00C1797A">
        <w:t xml:space="preserve"> a proportion of the</w:t>
      </w:r>
      <w:r w:rsidR="008E3B98" w:rsidRPr="008E3B98">
        <w:t xml:space="preserve"> voyage monitoring and reporting. </w:t>
      </w:r>
      <w:r w:rsidR="00C1797A">
        <w:t xml:space="preserve">The Live Export Program and </w:t>
      </w:r>
      <w:r w:rsidR="00E534F0">
        <w:t>Veterinary and Export Meat Branch</w:t>
      </w:r>
      <w:r w:rsidR="008E3B98" w:rsidRPr="008E3B98">
        <w:t xml:space="preserve"> registered veterinarians also provide technical veterinary input as required</w:t>
      </w:r>
      <w:r w:rsidR="00615789">
        <w:t>,</w:t>
      </w:r>
      <w:r w:rsidR="008E3B98" w:rsidRPr="008E3B98">
        <w:t xml:space="preserve"> for example when operationalising policy and negotiating protocols. Continuing professional development is required for veterinarians to maintain their registration in the states</w:t>
      </w:r>
      <w:r w:rsidR="00615789">
        <w:t xml:space="preserve"> and </w:t>
      </w:r>
      <w:r w:rsidR="008E3B98" w:rsidRPr="008E3B98">
        <w:t xml:space="preserve">territories. </w:t>
      </w:r>
      <w:r w:rsidR="00626909">
        <w:t>These development sessions are</w:t>
      </w:r>
      <w:r w:rsidR="008E3B98" w:rsidRPr="008E3B98">
        <w:t xml:space="preserve"> supplied internally and external</w:t>
      </w:r>
      <w:r w:rsidR="00626909">
        <w:t>ly</w:t>
      </w:r>
      <w:r w:rsidR="008E3B98" w:rsidRPr="008E3B98">
        <w:t>.</w:t>
      </w:r>
    </w:p>
    <w:p w14:paraId="47AD62B0" w14:textId="4B15A07D" w:rsidR="000975F5" w:rsidRDefault="00E534F0" w:rsidP="008E3B98">
      <w:r>
        <w:t>Veterinary and Export Meat Branch</w:t>
      </w:r>
      <w:r w:rsidRPr="00E534F0">
        <w:t xml:space="preserve"> </w:t>
      </w:r>
      <w:r w:rsidR="008E3B98" w:rsidRPr="008E3B98">
        <w:t>provide</w:t>
      </w:r>
      <w:r w:rsidR="00615789">
        <w:t>s</w:t>
      </w:r>
      <w:r w:rsidR="008E3B98" w:rsidRPr="008E3B98">
        <w:t xml:space="preserve"> ongoing </w:t>
      </w:r>
      <w:r w:rsidR="005D53D8">
        <w:t xml:space="preserve">needs-based </w:t>
      </w:r>
      <w:r w:rsidR="008E3B98" w:rsidRPr="008E3B98">
        <w:t>internal training at half</w:t>
      </w:r>
      <w:r w:rsidR="00615789">
        <w:t>-</w:t>
      </w:r>
      <w:r w:rsidR="008E3B98" w:rsidRPr="008E3B98">
        <w:t xml:space="preserve">yearly </w:t>
      </w:r>
      <w:r w:rsidR="00615789">
        <w:t>2-</w:t>
      </w:r>
      <w:r w:rsidR="008E3B98" w:rsidRPr="008E3B98">
        <w:t xml:space="preserve">day </w:t>
      </w:r>
      <w:r w:rsidR="00615789">
        <w:t>v</w:t>
      </w:r>
      <w:r w:rsidR="008E3B98" w:rsidRPr="008E3B98">
        <w:t xml:space="preserve">eterinary </w:t>
      </w:r>
      <w:r w:rsidR="00615789">
        <w:t>o</w:t>
      </w:r>
      <w:r w:rsidR="008E3B98" w:rsidRPr="008E3B98">
        <w:t>fficer workshops</w:t>
      </w:r>
      <w:r w:rsidR="005D53D8">
        <w:t>. V</w:t>
      </w:r>
      <w:r w:rsidR="008E3B98" w:rsidRPr="008E3B98">
        <w:t>eterinary</w:t>
      </w:r>
      <w:r w:rsidR="005D53D8">
        <w:t xml:space="preserve"> i</w:t>
      </w:r>
      <w:r w:rsidR="008E3B98" w:rsidRPr="008E3B98">
        <w:t>ndependent observers are encouraged to attend when available.</w:t>
      </w:r>
    </w:p>
    <w:p w14:paraId="77D0664F" w14:textId="042DBBFE" w:rsidR="008E3B98" w:rsidRPr="008E3B98" w:rsidRDefault="008E3B98" w:rsidP="006452B8">
      <w:r w:rsidRPr="008E3B98">
        <w:t xml:space="preserve">All </w:t>
      </w:r>
      <w:r w:rsidR="005D53D8">
        <w:t>i</w:t>
      </w:r>
      <w:r w:rsidR="005D53D8" w:rsidRPr="008E3B98">
        <w:t>ndependent observer</w:t>
      </w:r>
      <w:r w:rsidRPr="008E3B98">
        <w:t>s undertake specialist training and induction</w:t>
      </w:r>
      <w:r w:rsidR="005D53D8">
        <w:t>. This</w:t>
      </w:r>
      <w:r w:rsidRPr="008E3B98">
        <w:t xml:space="preserve"> includ</w:t>
      </w:r>
      <w:r w:rsidR="005D53D8">
        <w:t>es</w:t>
      </w:r>
      <w:r w:rsidRPr="008E3B98">
        <w:t xml:space="preserve"> training in legislation and contemporaneous note taking</w:t>
      </w:r>
      <w:r w:rsidR="007175E2">
        <w:t xml:space="preserve">, </w:t>
      </w:r>
      <w:r w:rsidRPr="008E3B98">
        <w:t xml:space="preserve">work instructions and guidance. </w:t>
      </w:r>
    </w:p>
    <w:p w14:paraId="6741DC6C" w14:textId="1A89F3AA" w:rsidR="00BA06A4" w:rsidRDefault="005E000E" w:rsidP="00C12542">
      <w:pPr>
        <w:pStyle w:val="BoxHeading"/>
      </w:pPr>
      <w:r>
        <w:rPr>
          <w:bCs/>
        </w:rPr>
        <w:t xml:space="preserve">Moss </w:t>
      </w:r>
      <w:r w:rsidR="00103977">
        <w:t xml:space="preserve">Review </w:t>
      </w:r>
      <w:r>
        <w:rPr>
          <w:bCs/>
        </w:rPr>
        <w:t>r</w:t>
      </w:r>
      <w:r w:rsidR="008E3B98" w:rsidRPr="008E3B98">
        <w:rPr>
          <w:bCs/>
        </w:rPr>
        <w:t>ecommendation 24</w:t>
      </w:r>
    </w:p>
    <w:p w14:paraId="2B1261CD" w14:textId="3FEEBD9C" w:rsidR="008E3B98" w:rsidRDefault="008E3B98" w:rsidP="00C12542">
      <w:pPr>
        <w:pStyle w:val="BoxText"/>
      </w:pPr>
      <w:r w:rsidRPr="008E3B98">
        <w:t xml:space="preserve">That the department work with the live animal export industry and </w:t>
      </w:r>
      <w:r w:rsidR="00C12542" w:rsidRPr="008E3B98">
        <w:t>the Australian</w:t>
      </w:r>
      <w:r w:rsidRPr="008E3B98">
        <w:t xml:space="preserve"> Maritime Safety Authority to develop automated monitoring of animal welfare indicators </w:t>
      </w:r>
      <w:r w:rsidR="000E0CDF" w:rsidRPr="008E3B98">
        <w:t>on</w:t>
      </w:r>
      <w:r w:rsidR="000E0CDF">
        <w:t>-</w:t>
      </w:r>
      <w:r w:rsidRPr="008E3B98">
        <w:t>board vessels.</w:t>
      </w:r>
    </w:p>
    <w:p w14:paraId="050E96F0" w14:textId="77777777" w:rsidR="00BA06A4" w:rsidRPr="008E3402" w:rsidRDefault="00BA06A4" w:rsidP="00C12542">
      <w:pPr>
        <w:pStyle w:val="BoxText"/>
        <w:rPr>
          <w:rStyle w:val="Strong"/>
          <w:sz w:val="22"/>
        </w:rPr>
      </w:pPr>
      <w:r w:rsidRPr="008E3402">
        <w:rPr>
          <w:rStyle w:val="Strong"/>
        </w:rPr>
        <w:t>Implementation status</w:t>
      </w:r>
    </w:p>
    <w:p w14:paraId="7B3EC558" w14:textId="2560E201" w:rsidR="008E3B98" w:rsidRPr="00095548" w:rsidRDefault="008E3B98" w:rsidP="00C12542">
      <w:pPr>
        <w:pStyle w:val="BoxTextBullet"/>
      </w:pPr>
      <w:r w:rsidRPr="007A5762">
        <w:t xml:space="preserve">Department’s </w:t>
      </w:r>
      <w:r w:rsidR="00BA06A4" w:rsidRPr="00141865">
        <w:t>assessment</w:t>
      </w:r>
      <w:r w:rsidRPr="00095548">
        <w:t>: In progress</w:t>
      </w:r>
    </w:p>
    <w:p w14:paraId="42EB052A" w14:textId="14864CCE" w:rsidR="00BA06A4" w:rsidRPr="00141865" w:rsidRDefault="008A5824" w:rsidP="00C12542">
      <w:pPr>
        <w:pStyle w:val="BoxTextBullet"/>
      </w:pPr>
      <w:r>
        <w:t>Inspector-</w:t>
      </w:r>
      <w:r w:rsidR="00A00605">
        <w:t>g</w:t>
      </w:r>
      <w:r>
        <w:t>eneral’s assessment:</w:t>
      </w:r>
      <w:r w:rsidR="00BA06A4" w:rsidRPr="007A5762">
        <w:t xml:space="preserve"> In progress</w:t>
      </w:r>
    </w:p>
    <w:p w14:paraId="3535AE13" w14:textId="4380265F" w:rsidR="00302EB5" w:rsidRDefault="00302EB5" w:rsidP="00B554CA">
      <w:pPr>
        <w:pStyle w:val="Heading4"/>
      </w:pPr>
      <w:r>
        <w:t>Department’s response: Support</w:t>
      </w:r>
      <w:r w:rsidR="00E82B8E">
        <w:t xml:space="preserve"> in principle</w:t>
      </w:r>
    </w:p>
    <w:p w14:paraId="3225B2F0" w14:textId="7ADED793" w:rsidR="008E3B98" w:rsidRPr="008E3B98" w:rsidRDefault="008E3B98" w:rsidP="008E3B98">
      <w:r w:rsidRPr="008E3B98">
        <w:t xml:space="preserve">Under the </w:t>
      </w:r>
      <w:r w:rsidR="000134AE" w:rsidRPr="000134AE">
        <w:t>Australian Meat and Live‑stock Industry (Prohibition of Export of Sheep by Sea to Middle East</w:t>
      </w:r>
      <w:r w:rsidR="000134AE">
        <w:t xml:space="preserve"> – </w:t>
      </w:r>
      <w:r w:rsidR="000134AE" w:rsidRPr="000134AE">
        <w:t>Northern Summer) Order 2020</w:t>
      </w:r>
      <w:r w:rsidRPr="008E3B98">
        <w:t xml:space="preserve">, conditions apply to voyages departing between </w:t>
      </w:r>
      <w:r w:rsidR="009E46EF" w:rsidRPr="008E3B98">
        <w:t>1</w:t>
      </w:r>
      <w:r w:rsidR="009E46EF">
        <w:t> </w:t>
      </w:r>
      <w:r w:rsidRPr="008E3B98">
        <w:t>May and 31 October to manage the risk of heat stress in sheep. During this period, vessels must be equipped with automated environmental data loggers, with the temperature and humidity recorded and reported to the department.</w:t>
      </w:r>
    </w:p>
    <w:p w14:paraId="318A48E6" w14:textId="7D2DF912" w:rsidR="000975F5" w:rsidRDefault="008E3B98" w:rsidP="008E3B98">
      <w:r w:rsidRPr="008E3B98">
        <w:t xml:space="preserve">The department is also exploring whether other technologies can be effectively deployed for future voyages and is considering a trial of </w:t>
      </w:r>
      <w:r w:rsidR="00C12542">
        <w:t>movement-activated cameras</w:t>
      </w:r>
      <w:r w:rsidRPr="008E3B98">
        <w:t xml:space="preserve"> on vessels.</w:t>
      </w:r>
    </w:p>
    <w:p w14:paraId="758417AC" w14:textId="6BB02781" w:rsidR="00B0641A" w:rsidRDefault="0047319B" w:rsidP="00B554CA">
      <w:pPr>
        <w:pStyle w:val="Heading4"/>
      </w:pPr>
      <w:r w:rsidRPr="00357A9E">
        <w:t>Inspector-</w:t>
      </w:r>
      <w:r w:rsidR="00A00605">
        <w:t>g</w:t>
      </w:r>
      <w:r w:rsidRPr="00357A9E">
        <w:t>eneral’s assessment</w:t>
      </w:r>
    </w:p>
    <w:p w14:paraId="24036E4D" w14:textId="729CB4D7" w:rsidR="00694682" w:rsidRDefault="00694682" w:rsidP="008E3B98">
      <w:pPr>
        <w:rPr>
          <w:highlight w:val="yellow"/>
        </w:rPr>
      </w:pPr>
      <w:r>
        <w:t xml:space="preserve">The </w:t>
      </w:r>
      <w:r w:rsidR="00572DB5">
        <w:t>i</w:t>
      </w:r>
      <w:r>
        <w:t>nspector-</w:t>
      </w:r>
      <w:r w:rsidR="00572DB5">
        <w:t>g</w:t>
      </w:r>
      <w:r>
        <w:t xml:space="preserve">eneral discussed and made recommendations </w:t>
      </w:r>
      <w:r w:rsidR="009E46EF">
        <w:t>about appropriate monitoring technology</w:t>
      </w:r>
      <w:r>
        <w:t xml:space="preserve"> in </w:t>
      </w:r>
      <w:hyperlink r:id="rId27" w:history="1">
        <w:r w:rsidR="00127722">
          <w:rPr>
            <w:rStyle w:val="Hyperlink"/>
          </w:rPr>
          <w:t>Monitoring and reporting during livestock export voyages</w:t>
        </w:r>
      </w:hyperlink>
      <w:r>
        <w:t>.</w:t>
      </w:r>
    </w:p>
    <w:p w14:paraId="42FC3471" w14:textId="51F7637C" w:rsidR="00BA06A4" w:rsidRDefault="005E000E" w:rsidP="00C12542">
      <w:pPr>
        <w:pStyle w:val="BoxHeading"/>
      </w:pPr>
      <w:r>
        <w:lastRenderedPageBreak/>
        <w:t xml:space="preserve">Moss </w:t>
      </w:r>
      <w:r w:rsidR="00445C60">
        <w:t xml:space="preserve">Review </w:t>
      </w:r>
      <w:r>
        <w:t>r</w:t>
      </w:r>
      <w:r w:rsidR="008E3B98" w:rsidRPr="008E3B98">
        <w:t>ecommendation 25</w:t>
      </w:r>
    </w:p>
    <w:p w14:paraId="1F182919" w14:textId="77777777" w:rsidR="00C46677" w:rsidRDefault="008E3B98" w:rsidP="00043BE7">
      <w:pPr>
        <w:pStyle w:val="BoxText"/>
      </w:pPr>
      <w:r w:rsidRPr="008E3B98">
        <w:t>That instructional material relating to live animal exports be updated in consultation with operational areas in order to reflect current policy and operational requirements.</w:t>
      </w:r>
    </w:p>
    <w:p w14:paraId="69305386" w14:textId="7CED6681" w:rsidR="00043BE7" w:rsidRDefault="00BA06A4" w:rsidP="00043BE7">
      <w:pPr>
        <w:pStyle w:val="BoxText"/>
        <w:rPr>
          <w:rStyle w:val="Strong"/>
        </w:rPr>
      </w:pPr>
      <w:r w:rsidRPr="008E3402">
        <w:rPr>
          <w:rStyle w:val="Strong"/>
        </w:rPr>
        <w:t xml:space="preserve">Implementation </w:t>
      </w:r>
      <w:r w:rsidR="00043BE7" w:rsidRPr="008E3402">
        <w:rPr>
          <w:rStyle w:val="Strong"/>
        </w:rPr>
        <w:t>status</w:t>
      </w:r>
    </w:p>
    <w:p w14:paraId="24BBB4DD" w14:textId="7E011E35" w:rsidR="009235A9" w:rsidRDefault="00043BE7" w:rsidP="00043BE7">
      <w:pPr>
        <w:pStyle w:val="BoxTextBullet"/>
      </w:pPr>
      <w:r w:rsidRPr="007A5762">
        <w:t xml:space="preserve"> Department’s</w:t>
      </w:r>
      <w:r w:rsidR="008E3B98" w:rsidRPr="007A5762">
        <w:t xml:space="preserve"> </w:t>
      </w:r>
      <w:r w:rsidR="00BA06A4" w:rsidRPr="00141865">
        <w:t>assessment</w:t>
      </w:r>
      <w:r w:rsidR="008E3B98" w:rsidRPr="00095548">
        <w:t>: Ongoing</w:t>
      </w:r>
    </w:p>
    <w:p w14:paraId="16DF7752" w14:textId="73DC710F" w:rsidR="00BA06A4" w:rsidRPr="00141865" w:rsidRDefault="008A5824" w:rsidP="00043BE7">
      <w:pPr>
        <w:pStyle w:val="BoxTextBullet"/>
      </w:pPr>
      <w:r>
        <w:t>Inspector-</w:t>
      </w:r>
      <w:r w:rsidR="00A00605">
        <w:t>g</w:t>
      </w:r>
      <w:r>
        <w:t>eneral’s assessment:</w:t>
      </w:r>
      <w:r w:rsidR="00BA06A4" w:rsidRPr="00141865">
        <w:t xml:space="preserve"> </w:t>
      </w:r>
      <w:r w:rsidR="00572DB5">
        <w:t>Implemented - o</w:t>
      </w:r>
      <w:r w:rsidR="00BA06A4" w:rsidRPr="00141865">
        <w:t>ngoing</w:t>
      </w:r>
    </w:p>
    <w:p w14:paraId="22092304" w14:textId="7B1E6F8E" w:rsidR="0047319B" w:rsidRDefault="0047319B" w:rsidP="00B554CA">
      <w:pPr>
        <w:pStyle w:val="Heading4"/>
      </w:pPr>
      <w:r>
        <w:t>Department’s response:</w:t>
      </w:r>
      <w:r w:rsidR="006663BA">
        <w:t xml:space="preserve"> </w:t>
      </w:r>
      <w:r>
        <w:t>Support</w:t>
      </w:r>
    </w:p>
    <w:p w14:paraId="051802C9" w14:textId="640E99C7" w:rsidR="008E3B98" w:rsidRPr="008E3B98" w:rsidRDefault="001F5F3D" w:rsidP="008E3B98">
      <w:r>
        <w:t>T</w:t>
      </w:r>
      <w:r w:rsidRPr="008E3B98">
        <w:t xml:space="preserve">he </w:t>
      </w:r>
      <w:r w:rsidR="00141B93">
        <w:t>Plant and Live Animal Exports Division’s</w:t>
      </w:r>
      <w:r w:rsidRPr="008E3B98">
        <w:t xml:space="preserve"> </w:t>
      </w:r>
      <w:r w:rsidR="00DF0DD6">
        <w:t>p</w:t>
      </w:r>
      <w:r w:rsidRPr="008E3B98">
        <w:t xml:space="preserve">roject </w:t>
      </w:r>
      <w:r w:rsidR="00DF0DD6">
        <w:t>b</w:t>
      </w:r>
      <w:r w:rsidRPr="008E3B98">
        <w:t>oard</w:t>
      </w:r>
      <w:r>
        <w:t xml:space="preserve"> is monitoring the project to</w:t>
      </w:r>
      <w:r w:rsidR="00212A95">
        <w:t xml:space="preserve"> u</w:t>
      </w:r>
      <w:r w:rsidR="008E3B98" w:rsidRPr="008E3B98">
        <w:t>pdat</w:t>
      </w:r>
      <w:r>
        <w:t>e</w:t>
      </w:r>
      <w:r w:rsidR="00212A95">
        <w:t xml:space="preserve"> </w:t>
      </w:r>
      <w:r w:rsidR="008E3B98" w:rsidRPr="008E3B98">
        <w:t xml:space="preserve">instructional material. </w:t>
      </w:r>
      <w:r w:rsidR="00212A95">
        <w:t>A</w:t>
      </w:r>
      <w:r w:rsidR="00212A95" w:rsidRPr="008E3B98">
        <w:t xml:space="preserve"> key outcome of the initial project</w:t>
      </w:r>
      <w:r>
        <w:t xml:space="preserve"> is to</w:t>
      </w:r>
      <w:r w:rsidR="00212A95" w:rsidRPr="008E3B98">
        <w:t xml:space="preserve"> </w:t>
      </w:r>
      <w:r>
        <w:t>e</w:t>
      </w:r>
      <w:r w:rsidR="008E3B98" w:rsidRPr="008E3B98">
        <w:t>mbed a process in the division’s business as usual work that ensures instructional material is periodically reviewed and updated.</w:t>
      </w:r>
    </w:p>
    <w:p w14:paraId="052F8070" w14:textId="25EC9BB9" w:rsidR="008E3B98" w:rsidRPr="008E3B98" w:rsidRDefault="001F5F3D" w:rsidP="008E3B98">
      <w:r>
        <w:t>R</w:t>
      </w:r>
      <w:r w:rsidR="008E3B98" w:rsidRPr="008E3B98">
        <w:t xml:space="preserve">elevant staff in </w:t>
      </w:r>
      <w:r>
        <w:t xml:space="preserve">the </w:t>
      </w:r>
      <w:r w:rsidR="008734A6">
        <w:t xml:space="preserve">Live Animal Export </w:t>
      </w:r>
      <w:r>
        <w:t>Branch</w:t>
      </w:r>
      <w:r w:rsidR="008E3B98" w:rsidRPr="008E3B98">
        <w:t xml:space="preserve"> </w:t>
      </w:r>
      <w:r>
        <w:t>are</w:t>
      </w:r>
      <w:r w:rsidRPr="008E3B98">
        <w:t xml:space="preserve"> </w:t>
      </w:r>
      <w:r>
        <w:t>updating</w:t>
      </w:r>
      <w:r w:rsidRPr="008E3B98">
        <w:t xml:space="preserve"> </w:t>
      </w:r>
      <w:r>
        <w:t>w</w:t>
      </w:r>
      <w:r w:rsidR="008E3B98" w:rsidRPr="008E3B98">
        <w:t xml:space="preserve">ork </w:t>
      </w:r>
      <w:r>
        <w:t>i</w:t>
      </w:r>
      <w:r w:rsidR="008E3B98" w:rsidRPr="008E3B98">
        <w:t xml:space="preserve">nstructions. Some delays have occurred with staff </w:t>
      </w:r>
      <w:r w:rsidR="008734A6">
        <w:t>turn</w:t>
      </w:r>
      <w:r w:rsidR="008734A6" w:rsidRPr="008E3B98">
        <w:t xml:space="preserve">overs </w:t>
      </w:r>
      <w:r w:rsidR="008E3B98" w:rsidRPr="008E3B98">
        <w:t xml:space="preserve">and </w:t>
      </w:r>
      <w:r>
        <w:t xml:space="preserve">changes to the </w:t>
      </w:r>
      <w:r w:rsidR="008E3B98" w:rsidRPr="008E3B98">
        <w:t xml:space="preserve">Instructional Material Library. </w:t>
      </w:r>
      <w:r>
        <w:t>The branch has assigned a</w:t>
      </w:r>
      <w:r w:rsidR="008E3B98" w:rsidRPr="008E3B98">
        <w:t xml:space="preserve"> project officer to complete </w:t>
      </w:r>
      <w:r>
        <w:t>w</w:t>
      </w:r>
      <w:r w:rsidRPr="008E3B98">
        <w:t xml:space="preserve">ork </w:t>
      </w:r>
      <w:r>
        <w:t>i</w:t>
      </w:r>
      <w:r w:rsidRPr="008E3B98">
        <w:t>nstructions</w:t>
      </w:r>
      <w:r w:rsidRPr="008E3B98" w:rsidDel="001F5F3D">
        <w:t xml:space="preserve"> </w:t>
      </w:r>
      <w:r w:rsidR="008E3B98" w:rsidRPr="008E3B98">
        <w:t xml:space="preserve">with a specific </w:t>
      </w:r>
      <w:r w:rsidR="00D65DFA">
        <w:t xml:space="preserve">Veterinary and Export Meat Branch </w:t>
      </w:r>
      <w:r w:rsidR="008734A6">
        <w:t>regional veterinary officer</w:t>
      </w:r>
      <w:r w:rsidR="008E3B98" w:rsidRPr="008E3B98">
        <w:t xml:space="preserve">. </w:t>
      </w:r>
      <w:r>
        <w:t>The project</w:t>
      </w:r>
      <w:r w:rsidR="008E3B98" w:rsidRPr="008E3B98">
        <w:t xml:space="preserve"> is on track </w:t>
      </w:r>
      <w:r>
        <w:t>in line with</w:t>
      </w:r>
      <w:r w:rsidR="008E3B98" w:rsidRPr="008E3B98">
        <w:t xml:space="preserve"> an agreed priority list.</w:t>
      </w:r>
    </w:p>
    <w:p w14:paraId="5F5BA6D2" w14:textId="39F00FF7" w:rsidR="00F55919" w:rsidRPr="00A30B4A" w:rsidRDefault="00F55919" w:rsidP="00B554CA">
      <w:pPr>
        <w:pStyle w:val="Heading4"/>
      </w:pPr>
      <w:r w:rsidRPr="00A30B4A">
        <w:t>Inspector-</w:t>
      </w:r>
      <w:r w:rsidR="00A00605">
        <w:t>g</w:t>
      </w:r>
      <w:r w:rsidRPr="00A30B4A">
        <w:t>eneral</w:t>
      </w:r>
      <w:r w:rsidR="008515DB" w:rsidRPr="00A30B4A">
        <w:t>’s</w:t>
      </w:r>
      <w:r w:rsidRPr="00A30B4A">
        <w:t xml:space="preserve"> assessment</w:t>
      </w:r>
    </w:p>
    <w:p w14:paraId="43FC5D61" w14:textId="3CD5F21A" w:rsidR="00DE0DE3" w:rsidRDefault="00694682" w:rsidP="00DE0DE3">
      <w:pPr>
        <w:rPr>
          <w:b/>
          <w:bCs/>
        </w:rPr>
      </w:pPr>
      <w:r w:rsidRPr="008E3B98">
        <w:t xml:space="preserve">The department has not provided regulatory process mapping in response to data requests. The </w:t>
      </w:r>
      <w:r w:rsidR="00572DB5">
        <w:t>i</w:t>
      </w:r>
      <w:r>
        <w:t>nspector-</w:t>
      </w:r>
      <w:r w:rsidR="00572DB5">
        <w:t>g</w:t>
      </w:r>
      <w:r>
        <w:t>eneral</w:t>
      </w:r>
      <w:r w:rsidRPr="008E3B98">
        <w:t xml:space="preserve"> considers that detailed mapping </w:t>
      </w:r>
      <w:r w:rsidR="001F5F3D">
        <w:t>of</w:t>
      </w:r>
      <w:r w:rsidRPr="008E3B98">
        <w:t xml:space="preserve"> all regulatory processes </w:t>
      </w:r>
      <w:r w:rsidR="001F5F3D">
        <w:t>should</w:t>
      </w:r>
      <w:r w:rsidR="001F5F3D" w:rsidRPr="008E3B98">
        <w:t xml:space="preserve"> </w:t>
      </w:r>
      <w:r w:rsidRPr="008E3B98">
        <w:t xml:space="preserve">be in place to support consistent administration, </w:t>
      </w:r>
      <w:r w:rsidR="005E000E">
        <w:t>decision-mak</w:t>
      </w:r>
      <w:r w:rsidRPr="008E3B98">
        <w:t>ing, performance measurement and continuous improvement. Standard operating procedures should also be in place for each regulatory process</w:t>
      </w:r>
      <w:r w:rsidR="001F5F3D">
        <w:t xml:space="preserve">, and </w:t>
      </w:r>
      <w:r w:rsidRPr="008E3B98">
        <w:t>appropriate internal and external guidance and training</w:t>
      </w:r>
      <w:r w:rsidR="001F5F3D">
        <w:t xml:space="preserve"> provided</w:t>
      </w:r>
      <w:r w:rsidRPr="008E3B98">
        <w:t>.</w:t>
      </w:r>
      <w:r w:rsidR="00EE33DA">
        <w:t xml:space="preserve"> This is a critical requirement to ensure that the </w:t>
      </w:r>
      <w:r w:rsidR="0031231C">
        <w:t xml:space="preserve">government’s </w:t>
      </w:r>
      <w:r w:rsidR="00EE33DA">
        <w:t xml:space="preserve">investment </w:t>
      </w:r>
      <w:r w:rsidR="00A87FEB">
        <w:t>(</w:t>
      </w:r>
      <w:r w:rsidR="0031231C">
        <w:t xml:space="preserve">from the </w:t>
      </w:r>
      <w:r w:rsidR="005E000E">
        <w:t>2020</w:t>
      </w:r>
      <w:r w:rsidR="004C53E8">
        <w:t>–</w:t>
      </w:r>
      <w:r w:rsidR="005E000E">
        <w:t>21</w:t>
      </w:r>
      <w:r w:rsidR="00A87FEB">
        <w:t xml:space="preserve"> budget)</w:t>
      </w:r>
      <w:r w:rsidR="00EE33DA">
        <w:t xml:space="preserve"> delivers the </w:t>
      </w:r>
      <w:r w:rsidR="0031231C">
        <w:t xml:space="preserve">intended </w:t>
      </w:r>
      <w:r w:rsidR="00EE33DA">
        <w:t xml:space="preserve">outcomes and benefits (see </w:t>
      </w:r>
      <w:r w:rsidR="00445C60">
        <w:t xml:space="preserve">Moss </w:t>
      </w:r>
      <w:r w:rsidR="00445C60" w:rsidRPr="003238A7">
        <w:t>Review recommendations</w:t>
      </w:r>
      <w:r w:rsidR="00EE33DA" w:rsidRPr="003238A7">
        <w:t xml:space="preserve"> </w:t>
      </w:r>
      <w:r w:rsidR="00A87FEB" w:rsidRPr="003238A7">
        <w:t xml:space="preserve">17 and </w:t>
      </w:r>
      <w:r w:rsidR="00EE33DA" w:rsidRPr="003238A7">
        <w:t xml:space="preserve">23 and </w:t>
      </w:r>
      <w:r w:rsidR="00572DB5" w:rsidRPr="008A6AFC">
        <w:t>i</w:t>
      </w:r>
      <w:r w:rsidR="00384D6C" w:rsidRPr="008A6AFC">
        <w:t>nspector-</w:t>
      </w:r>
      <w:r w:rsidR="00386F4A" w:rsidRPr="008A6AFC">
        <w:t>g</w:t>
      </w:r>
      <w:r w:rsidR="00384D6C" w:rsidRPr="008A6AFC">
        <w:t xml:space="preserve">eneral </w:t>
      </w:r>
      <w:r w:rsidR="00386F4A" w:rsidRPr="008A6AFC">
        <w:t>r</w:t>
      </w:r>
      <w:r w:rsidR="002C60D3" w:rsidRPr="008A6AFC">
        <w:t>ecommendation 3</w:t>
      </w:r>
      <w:r w:rsidR="00EE33DA" w:rsidRPr="008A6AFC">
        <w:t>).</w:t>
      </w:r>
    </w:p>
    <w:p w14:paraId="4397360B" w14:textId="4A46DD9C" w:rsidR="00DE0DE3" w:rsidRPr="00B554CA" w:rsidRDefault="00DE0DE3" w:rsidP="00B554CA">
      <w:pPr>
        <w:pStyle w:val="BoxHeading"/>
      </w:pPr>
      <w:r w:rsidRPr="00B554CA">
        <w:t>Inspector-</w:t>
      </w:r>
      <w:r w:rsidR="00A00605" w:rsidRPr="00B554CA">
        <w:t>g</w:t>
      </w:r>
      <w:r w:rsidRPr="00B554CA">
        <w:t>eneral recommendation 3</w:t>
      </w:r>
    </w:p>
    <w:p w14:paraId="1B011BBD" w14:textId="65F5B5FB" w:rsidR="00DE0DE3" w:rsidRPr="00B554CA" w:rsidRDefault="00DE0DE3" w:rsidP="00B554CA">
      <w:pPr>
        <w:pStyle w:val="BoxText"/>
      </w:pPr>
      <w:r w:rsidRPr="00B554CA">
        <w:t xml:space="preserve">The department should ensure it has detailed business process maps for all </w:t>
      </w:r>
      <w:r w:rsidR="00386F4A" w:rsidRPr="00B554CA">
        <w:t>l</w:t>
      </w:r>
      <w:r w:rsidRPr="00B554CA">
        <w:t xml:space="preserve">ive </w:t>
      </w:r>
      <w:r w:rsidR="00386F4A" w:rsidRPr="00B554CA">
        <w:t>a</w:t>
      </w:r>
      <w:r w:rsidRPr="00B554CA">
        <w:t xml:space="preserve">nimal </w:t>
      </w:r>
      <w:r w:rsidR="00386F4A" w:rsidRPr="00B554CA">
        <w:t>e</w:t>
      </w:r>
      <w:r w:rsidRPr="00B554CA">
        <w:t xml:space="preserve">xport regulatory processes to support improved regulatory effectiveness and efficiency, and to inform optimal IT investment in the systems that support these processes. </w:t>
      </w:r>
    </w:p>
    <w:p w14:paraId="438CC16F" w14:textId="116F2196" w:rsidR="008E3B98" w:rsidRDefault="008E3B98" w:rsidP="00F46CCE">
      <w:pPr>
        <w:pStyle w:val="Heading3"/>
      </w:pPr>
      <w:bookmarkStart w:id="28" w:name="_Toc50537094"/>
      <w:bookmarkStart w:id="29" w:name="_Toc58774286"/>
      <w:r w:rsidRPr="008E3B98">
        <w:t>A transparent and well</w:t>
      </w:r>
      <w:r w:rsidR="00E234FF">
        <w:t>-</w:t>
      </w:r>
      <w:r w:rsidRPr="008E3B98">
        <w:t>engaged regulator</w:t>
      </w:r>
      <w:bookmarkEnd w:id="28"/>
      <w:bookmarkEnd w:id="29"/>
    </w:p>
    <w:p w14:paraId="038967D3" w14:textId="6370A313" w:rsidR="00411435" w:rsidRPr="00141865" w:rsidRDefault="00411435" w:rsidP="00C12542">
      <w:r>
        <w:t xml:space="preserve">In </w:t>
      </w:r>
      <w:r w:rsidR="0031231C">
        <w:t xml:space="preserve">its </w:t>
      </w:r>
      <w:r>
        <w:t>2018</w:t>
      </w:r>
      <w:r w:rsidR="0031231C">
        <w:t xml:space="preserve"> </w:t>
      </w:r>
      <w:r>
        <w:t>response to the Moss Review, the department stated:</w:t>
      </w:r>
    </w:p>
    <w:p w14:paraId="09E5A90D" w14:textId="699ABED3" w:rsidR="008E3B98" w:rsidRPr="008E3B98" w:rsidRDefault="008E3B98" w:rsidP="008E3B98">
      <w:pPr>
        <w:ind w:left="709" w:right="567"/>
        <w:rPr>
          <w:rFonts w:eastAsia="Times New Roman"/>
          <w:iCs/>
          <w:color w:val="000000"/>
          <w:sz w:val="20"/>
          <w:szCs w:val="24"/>
        </w:rPr>
      </w:pPr>
      <w:r w:rsidRPr="008E3B98">
        <w:rPr>
          <w:rFonts w:eastAsia="Times New Roman"/>
          <w:iCs/>
          <w:color w:val="000000"/>
          <w:sz w:val="20"/>
          <w:szCs w:val="24"/>
        </w:rPr>
        <w:t xml:space="preserve">The department acknowledges that it can improve its engagement with exporters, with producers who rely on the live export trade, with stakeholders who have a strong interest in animal welfare, the broader Australian community, and with other regulators, including the Australian Maritime Safety Authority (AMSA) and states and territories who have their own regulatory responsibilities in relation to animal welfare. In relation to states and territories, it is worth noting that the Australian Government’s constitutional authority to regulate animal welfare is restricted to issues related to exports, and the interaction </w:t>
      </w:r>
      <w:r w:rsidRPr="008E3B98">
        <w:rPr>
          <w:rFonts w:eastAsia="Times New Roman"/>
          <w:iCs/>
          <w:color w:val="000000"/>
          <w:sz w:val="20"/>
          <w:szCs w:val="24"/>
        </w:rPr>
        <w:lastRenderedPageBreak/>
        <w:t>between regulatory responsibilities will need to reflect the legislative obligations of each level of government (</w:t>
      </w:r>
      <w:r w:rsidRPr="001D71C2">
        <w:rPr>
          <w:rFonts w:eastAsia="Times New Roman"/>
          <w:iCs/>
          <w:color w:val="000000"/>
          <w:sz w:val="20"/>
          <w:szCs w:val="24"/>
        </w:rPr>
        <w:t>Department of Agriculture and Water Resources 2018).</w:t>
      </w:r>
    </w:p>
    <w:p w14:paraId="50D973C1" w14:textId="6596A92D" w:rsidR="00767226" w:rsidRPr="00E7574D" w:rsidRDefault="00767226" w:rsidP="008E3B98">
      <w:pPr>
        <w:rPr>
          <w:bCs/>
        </w:rPr>
      </w:pPr>
      <w:r>
        <w:rPr>
          <w:bCs/>
        </w:rPr>
        <w:t xml:space="preserve">The </w:t>
      </w:r>
      <w:r w:rsidR="00386F4A">
        <w:rPr>
          <w:bCs/>
        </w:rPr>
        <w:t>i</w:t>
      </w:r>
      <w:r w:rsidR="00847E4F">
        <w:rPr>
          <w:bCs/>
        </w:rPr>
        <w:t>nspector-</w:t>
      </w:r>
      <w:r w:rsidR="00386F4A">
        <w:rPr>
          <w:bCs/>
        </w:rPr>
        <w:t>g</w:t>
      </w:r>
      <w:r w:rsidR="00847E4F">
        <w:rPr>
          <w:bCs/>
        </w:rPr>
        <w:t xml:space="preserve">eneral </w:t>
      </w:r>
      <w:r>
        <w:rPr>
          <w:bCs/>
        </w:rPr>
        <w:t xml:space="preserve">notes </w:t>
      </w:r>
      <w:r w:rsidR="00345523">
        <w:rPr>
          <w:bCs/>
        </w:rPr>
        <w:t>that the department’s</w:t>
      </w:r>
      <w:r>
        <w:rPr>
          <w:bCs/>
        </w:rPr>
        <w:t xml:space="preserve"> </w:t>
      </w:r>
      <w:r w:rsidR="00386F4A">
        <w:rPr>
          <w:bCs/>
        </w:rPr>
        <w:t xml:space="preserve">Plant and </w:t>
      </w:r>
      <w:r w:rsidR="00847E4F">
        <w:rPr>
          <w:bCs/>
        </w:rPr>
        <w:t>L</w:t>
      </w:r>
      <w:r>
        <w:rPr>
          <w:bCs/>
        </w:rPr>
        <w:t xml:space="preserve">ive </w:t>
      </w:r>
      <w:r w:rsidR="00847E4F">
        <w:rPr>
          <w:bCs/>
        </w:rPr>
        <w:t>A</w:t>
      </w:r>
      <w:r>
        <w:rPr>
          <w:bCs/>
        </w:rPr>
        <w:t xml:space="preserve">nimal </w:t>
      </w:r>
      <w:r w:rsidR="00847E4F">
        <w:rPr>
          <w:bCs/>
        </w:rPr>
        <w:t>E</w:t>
      </w:r>
      <w:r>
        <w:rPr>
          <w:bCs/>
        </w:rPr>
        <w:t>xports</w:t>
      </w:r>
      <w:r w:rsidR="00213B3D">
        <w:rPr>
          <w:bCs/>
        </w:rPr>
        <w:t xml:space="preserve"> Division</w:t>
      </w:r>
      <w:r>
        <w:rPr>
          <w:bCs/>
        </w:rPr>
        <w:t xml:space="preserve"> </w:t>
      </w:r>
      <w:r w:rsidR="007E79D5">
        <w:rPr>
          <w:bCs/>
        </w:rPr>
        <w:t>ha</w:t>
      </w:r>
      <w:r w:rsidR="00213B3D">
        <w:rPr>
          <w:bCs/>
        </w:rPr>
        <w:t>s</w:t>
      </w:r>
      <w:r>
        <w:rPr>
          <w:bCs/>
        </w:rPr>
        <w:t xml:space="preserve"> generally improved the level of transparency of its processes and </w:t>
      </w:r>
      <w:r w:rsidR="0047319B">
        <w:rPr>
          <w:bCs/>
        </w:rPr>
        <w:t>decisions through increased publication.</w:t>
      </w:r>
      <w:r w:rsidR="00C07189">
        <w:rPr>
          <w:bCs/>
        </w:rPr>
        <w:t xml:space="preserve"> This should be commended as progress </w:t>
      </w:r>
      <w:r w:rsidR="00D76632">
        <w:rPr>
          <w:bCs/>
        </w:rPr>
        <w:t xml:space="preserve">on </w:t>
      </w:r>
      <w:r w:rsidR="00C07189">
        <w:rPr>
          <w:bCs/>
        </w:rPr>
        <w:t>an important pillar of community trust and confidence</w:t>
      </w:r>
      <w:r w:rsidR="00D45240">
        <w:rPr>
          <w:bCs/>
        </w:rPr>
        <w:t xml:space="preserve"> in regulatory practice</w:t>
      </w:r>
      <w:r w:rsidR="00C07189">
        <w:rPr>
          <w:bCs/>
        </w:rPr>
        <w:t>. The department should continue to look for opportunities to further increase transparency and accessibility.</w:t>
      </w:r>
    </w:p>
    <w:p w14:paraId="0D020C3E" w14:textId="335BDECF" w:rsidR="00BA06A4" w:rsidRDefault="00445C60" w:rsidP="00190701">
      <w:pPr>
        <w:pStyle w:val="BoxHeading"/>
      </w:pPr>
      <w:r>
        <w:t>Moss Review recommendation</w:t>
      </w:r>
      <w:r w:rsidR="005E000E" w:rsidRPr="008E3B98">
        <w:t xml:space="preserve"> </w:t>
      </w:r>
      <w:r w:rsidR="008E3B98" w:rsidRPr="008E3B98">
        <w:t>2</w:t>
      </w:r>
    </w:p>
    <w:p w14:paraId="4A931683" w14:textId="58A87B31" w:rsidR="008E3B98" w:rsidRPr="008E3B98" w:rsidRDefault="008E3B98" w:rsidP="00190701">
      <w:pPr>
        <w:pStyle w:val="BoxText"/>
      </w:pPr>
      <w:r w:rsidRPr="008E3B98">
        <w:t xml:space="preserve">That the department undertake to clarify the interaction between the </w:t>
      </w:r>
      <w:r w:rsidRPr="008E3B98">
        <w:rPr>
          <w:i/>
          <w:iCs/>
        </w:rPr>
        <w:t>Export Control Act 1982</w:t>
      </w:r>
      <w:r w:rsidRPr="008E3B98">
        <w:t xml:space="preserve"> and the Australia Standards for the Export of Livestock and the operation of state and territory animal welfare laws regarding live animal exports.</w:t>
      </w:r>
    </w:p>
    <w:p w14:paraId="229C664A" w14:textId="77777777" w:rsidR="00BA06A4" w:rsidRPr="008E3402" w:rsidRDefault="00BA06A4" w:rsidP="00BA06A4">
      <w:pPr>
        <w:pStyle w:val="BoxText"/>
        <w:keepNext/>
        <w:rPr>
          <w:rStyle w:val="Strong"/>
        </w:rPr>
      </w:pPr>
      <w:r w:rsidRPr="008E3402">
        <w:rPr>
          <w:rStyle w:val="Strong"/>
        </w:rPr>
        <w:t>Implementation status</w:t>
      </w:r>
    </w:p>
    <w:p w14:paraId="07D381AD" w14:textId="7563BEC0" w:rsidR="008E3B98" w:rsidRPr="00095548" w:rsidRDefault="008E3B98" w:rsidP="00190701">
      <w:pPr>
        <w:pStyle w:val="BoxTextBullet"/>
      </w:pPr>
      <w:r w:rsidRPr="007A5762">
        <w:t xml:space="preserve">Department’s </w:t>
      </w:r>
      <w:r w:rsidR="00BA06A4">
        <w:t>assessment</w:t>
      </w:r>
      <w:r w:rsidRPr="00B7620F">
        <w:t>: In progress</w:t>
      </w:r>
    </w:p>
    <w:p w14:paraId="68FF4086" w14:textId="5F9AB446" w:rsidR="00BA06A4" w:rsidRPr="00141865" w:rsidRDefault="008A5824" w:rsidP="00190701">
      <w:pPr>
        <w:pStyle w:val="BoxTextBullet"/>
      </w:pPr>
      <w:r>
        <w:t>Inspector-</w:t>
      </w:r>
      <w:r w:rsidR="00A00605">
        <w:t>g</w:t>
      </w:r>
      <w:r>
        <w:t>eneral’s assessment:</w:t>
      </w:r>
      <w:r w:rsidR="00BA06A4" w:rsidRPr="00141865">
        <w:t xml:space="preserve"> In progress</w:t>
      </w:r>
    </w:p>
    <w:p w14:paraId="09794455" w14:textId="77777777" w:rsidR="0047319B" w:rsidRDefault="0047319B" w:rsidP="00A77D42">
      <w:pPr>
        <w:pStyle w:val="Heading4"/>
      </w:pPr>
      <w:r>
        <w:t>Department’s response: Support</w:t>
      </w:r>
    </w:p>
    <w:p w14:paraId="58227468" w14:textId="0C3F390A" w:rsidR="008E3B98" w:rsidRPr="008E3B98" w:rsidRDefault="008E3B98" w:rsidP="008E3B98">
      <w:r w:rsidRPr="008E3B98">
        <w:t>The department has met, and continues to meet, with jurisdictions and is preparing a high</w:t>
      </w:r>
      <w:r w:rsidR="00753206">
        <w:t>-</w:t>
      </w:r>
      <w:r w:rsidRPr="008E3B98">
        <w:t>level summary of the various responsibilities along the live animal exports supply chain to assist stakeholders’ understanding. This is due to be finalised by September 2020.</w:t>
      </w:r>
    </w:p>
    <w:p w14:paraId="73C0824B" w14:textId="010467A2" w:rsidR="00F55919" w:rsidRDefault="00F55919" w:rsidP="00A77D42">
      <w:pPr>
        <w:pStyle w:val="Heading4"/>
      </w:pPr>
      <w:r w:rsidRPr="004479F5">
        <w:t>Inspector-</w:t>
      </w:r>
      <w:r w:rsidR="00A00605">
        <w:t>g</w:t>
      </w:r>
      <w:r w:rsidRPr="004479F5">
        <w:t>eneral</w:t>
      </w:r>
      <w:r w:rsidR="008515DB" w:rsidRPr="004479F5">
        <w:t>’s</w:t>
      </w:r>
      <w:r w:rsidRPr="004479F5">
        <w:t xml:space="preserve"> assessment</w:t>
      </w:r>
    </w:p>
    <w:p w14:paraId="211B5D5F" w14:textId="13863E86" w:rsidR="000975F5" w:rsidRDefault="008E3B98" w:rsidP="008E3B98">
      <w:r w:rsidRPr="008E3B98">
        <w:t>The department has consulted with state and territory governments to clarify the roles, responsibilities and regulatory activities of each jurisdiction.</w:t>
      </w:r>
    </w:p>
    <w:p w14:paraId="31D9D9BB" w14:textId="3616FF1D" w:rsidR="000975F5" w:rsidRDefault="006932ED" w:rsidP="008E3B98">
      <w:r>
        <w:t>Moss</w:t>
      </w:r>
      <w:r w:rsidR="0047319B">
        <w:t>’</w:t>
      </w:r>
      <w:r>
        <w:t xml:space="preserve"> </w:t>
      </w:r>
      <w:r w:rsidR="008E3B98" w:rsidRPr="008E3B98">
        <w:t xml:space="preserve">recommendation </w:t>
      </w:r>
      <w:r w:rsidR="00445C60">
        <w:t>aimed</w:t>
      </w:r>
      <w:r w:rsidR="008E3B98" w:rsidRPr="008E3B98">
        <w:t xml:space="preserve"> to ensure that stakeholders with an interest in animal welfare in live</w:t>
      </w:r>
      <w:r w:rsidR="00BD7FC4">
        <w:t>stock</w:t>
      </w:r>
      <w:r w:rsidR="008E3B98" w:rsidRPr="008E3B98">
        <w:t xml:space="preserve"> animal exports would be able to not only easily understand jurisdictional responsibilities, but also be able to direct their inquiries and</w:t>
      </w:r>
      <w:r w:rsidR="00D325E2">
        <w:t xml:space="preserve"> </w:t>
      </w:r>
      <w:r w:rsidR="008E3B98" w:rsidRPr="008E3B98">
        <w:t>provide reports or complaints</w:t>
      </w:r>
      <w:r w:rsidR="00D325E2">
        <w:t xml:space="preserve"> </w:t>
      </w:r>
      <w:r w:rsidR="008E3B98" w:rsidRPr="008E3B98">
        <w:t xml:space="preserve">to the responsible jurisdiction in a timely manner. This recommendation was intended by the </w:t>
      </w:r>
      <w:r>
        <w:t>Moss Review</w:t>
      </w:r>
      <w:r w:rsidR="008E3B98" w:rsidRPr="008E3B98">
        <w:t xml:space="preserve"> to work in conjunction with recommendation 8, to ensure that the ‘eyes and ears’ of the community were more effectively harnessed as an important source of information</w:t>
      </w:r>
      <w:r w:rsidR="00D325E2">
        <w:t xml:space="preserve"> for compliance monitoring</w:t>
      </w:r>
      <w:r w:rsidR="008E3B98" w:rsidRPr="008E3B98">
        <w:t>.</w:t>
      </w:r>
    </w:p>
    <w:p w14:paraId="01E64195" w14:textId="293456A6" w:rsidR="00626FF4" w:rsidRDefault="00BA06A4" w:rsidP="00171170">
      <w:pPr>
        <w:pStyle w:val="BoxHeading"/>
        <w:keepNext/>
      </w:pPr>
      <w:r w:rsidRPr="007A5762">
        <w:lastRenderedPageBreak/>
        <w:t>M</w:t>
      </w:r>
      <w:r w:rsidRPr="00141865">
        <w:t xml:space="preserve">oss </w:t>
      </w:r>
      <w:r w:rsidR="00103977">
        <w:t xml:space="preserve">Review </w:t>
      </w:r>
      <w:r w:rsidRPr="007A5762">
        <w:t>r</w:t>
      </w:r>
      <w:r w:rsidR="008E3B98" w:rsidRPr="00141865">
        <w:t>ecommendation 8</w:t>
      </w:r>
    </w:p>
    <w:p w14:paraId="7C04E78C" w14:textId="57ECE94F" w:rsidR="008E3B98" w:rsidRPr="00B7620F" w:rsidRDefault="008E3B98" w:rsidP="00171170">
      <w:pPr>
        <w:pStyle w:val="BoxText"/>
        <w:keepNext/>
      </w:pPr>
      <w:r w:rsidRPr="00141865">
        <w:t>That the department adopt a regulatory approach that recognises the contribution of animal welfare organisations in identifying non-compliance with the Australian Standards for the Export of Livestock, the Exporter Supply Chain Assurance System and animal welfare standards.</w:t>
      </w:r>
    </w:p>
    <w:p w14:paraId="28C60146" w14:textId="796EAD5E" w:rsidR="00BA06A4" w:rsidRPr="00190701" w:rsidRDefault="00626FF4" w:rsidP="00171170">
      <w:pPr>
        <w:pStyle w:val="BoxText"/>
        <w:keepNext/>
        <w:rPr>
          <w:b/>
          <w:bCs/>
        </w:rPr>
      </w:pPr>
      <w:r w:rsidRPr="008E3402">
        <w:rPr>
          <w:rStyle w:val="Strong"/>
        </w:rPr>
        <w:t>Implementation status</w:t>
      </w:r>
    </w:p>
    <w:p w14:paraId="6333D4FA" w14:textId="37E36206" w:rsidR="008E3B98" w:rsidRPr="00190701" w:rsidRDefault="008E3B98" w:rsidP="00171170">
      <w:pPr>
        <w:pStyle w:val="BoxTextBullet"/>
        <w:keepNext/>
      </w:pPr>
      <w:r w:rsidRPr="00190701">
        <w:t xml:space="preserve">Department’s </w:t>
      </w:r>
      <w:r w:rsidR="00626FF4">
        <w:t>assessment</w:t>
      </w:r>
      <w:r w:rsidRPr="00190701">
        <w:t>: Complete</w:t>
      </w:r>
    </w:p>
    <w:p w14:paraId="39876A04" w14:textId="4815F99E" w:rsidR="00BA06A4" w:rsidRPr="00190701" w:rsidRDefault="008A5824" w:rsidP="00171170">
      <w:pPr>
        <w:pStyle w:val="BoxTextBullet"/>
        <w:keepNext/>
      </w:pPr>
      <w:r>
        <w:t>Inspector-</w:t>
      </w:r>
      <w:r w:rsidR="001D46F6">
        <w:t>g</w:t>
      </w:r>
      <w:r>
        <w:t>eneral’s assessment:</w:t>
      </w:r>
      <w:r w:rsidR="00626FF4" w:rsidRPr="007A5762">
        <w:t xml:space="preserve"> Implemented</w:t>
      </w:r>
      <w:r w:rsidR="00626FF4" w:rsidRPr="00141865">
        <w:t xml:space="preserve"> – ongoing</w:t>
      </w:r>
    </w:p>
    <w:p w14:paraId="0007FA06" w14:textId="77777777" w:rsidR="0047319B" w:rsidRDefault="0047319B" w:rsidP="00A77D42">
      <w:pPr>
        <w:pStyle w:val="Heading4"/>
      </w:pPr>
      <w:r>
        <w:t>Department’s response: Support</w:t>
      </w:r>
    </w:p>
    <w:p w14:paraId="567E630B" w14:textId="4D0F6A88" w:rsidR="008E3B98" w:rsidRPr="008E3B98" w:rsidRDefault="008E3B98" w:rsidP="008E3B98">
      <w:r w:rsidRPr="008E3B98">
        <w:t>The department continues to meet with relevant stakeholders on a regular basis. The department continues to investigate issues and information on breaches received from animal welfare bodies and acknowledges and adheres to the department’s client service standards.</w:t>
      </w:r>
    </w:p>
    <w:p w14:paraId="49DE746B" w14:textId="7D0FFB1B" w:rsidR="0047319B" w:rsidRPr="004479F5" w:rsidRDefault="0047319B" w:rsidP="00A77D42">
      <w:pPr>
        <w:pStyle w:val="Heading4"/>
      </w:pPr>
      <w:r w:rsidRPr="004479F5">
        <w:t>Inspector-</w:t>
      </w:r>
      <w:r w:rsidR="001D46F6">
        <w:t>g</w:t>
      </w:r>
      <w:r w:rsidRPr="004479F5">
        <w:t>eneral’s assessment</w:t>
      </w:r>
    </w:p>
    <w:p w14:paraId="7B776BE7" w14:textId="762518D7" w:rsidR="00213B3D" w:rsidRPr="00B64FD3" w:rsidRDefault="00213B3D" w:rsidP="008E3B98">
      <w:r>
        <w:t>Stakeholders have noted an improvement in the timeliness and responsiveness of the department, consistent with client service standards.</w:t>
      </w:r>
    </w:p>
    <w:p w14:paraId="7EC94617" w14:textId="59071BC8" w:rsidR="00626FF4" w:rsidRDefault="00626FF4" w:rsidP="00190701">
      <w:pPr>
        <w:pStyle w:val="BoxHeading"/>
      </w:pPr>
      <w:r w:rsidRPr="007A5762">
        <w:t xml:space="preserve">Moss </w:t>
      </w:r>
      <w:r w:rsidR="00103977">
        <w:t xml:space="preserve">Review </w:t>
      </w:r>
      <w:r w:rsidRPr="007A5762">
        <w:t>r</w:t>
      </w:r>
      <w:r w:rsidR="008E3B98" w:rsidRPr="00141865">
        <w:t>ecommendation 15</w:t>
      </w:r>
    </w:p>
    <w:p w14:paraId="770C9F7F" w14:textId="00C1B548" w:rsidR="008E3B98" w:rsidRPr="00141865" w:rsidRDefault="008E3B98" w:rsidP="00190701">
      <w:pPr>
        <w:pStyle w:val="BoxText"/>
      </w:pPr>
      <w:r w:rsidRPr="00141865">
        <w:t>That an independent external entity, known as the Inspector-General of Live Animal Exports, oversee the department in its role as the regulator of live animal exports.</w:t>
      </w:r>
    </w:p>
    <w:p w14:paraId="3F4A5B73" w14:textId="77777777" w:rsidR="00626FF4" w:rsidRPr="008E3402" w:rsidRDefault="00626FF4" w:rsidP="00626FF4">
      <w:pPr>
        <w:pStyle w:val="BoxText"/>
        <w:rPr>
          <w:b/>
          <w:bCs/>
        </w:rPr>
      </w:pPr>
      <w:r w:rsidRPr="008E3402">
        <w:rPr>
          <w:rStyle w:val="Strong"/>
        </w:rPr>
        <w:t>Implementation status</w:t>
      </w:r>
    </w:p>
    <w:p w14:paraId="3A4FBA68" w14:textId="225434AB" w:rsidR="008E3B98" w:rsidRDefault="008E3B98" w:rsidP="00190701">
      <w:pPr>
        <w:pStyle w:val="BoxTextBullet"/>
      </w:pPr>
      <w:r w:rsidRPr="00190701">
        <w:t xml:space="preserve">Department’s </w:t>
      </w:r>
      <w:r w:rsidR="00626FF4">
        <w:t>assessment</w:t>
      </w:r>
      <w:r w:rsidRPr="00190701">
        <w:t>: Complete</w:t>
      </w:r>
    </w:p>
    <w:p w14:paraId="0BBD08AA" w14:textId="37721B69" w:rsidR="00626FF4" w:rsidRPr="00190701" w:rsidRDefault="008A5824" w:rsidP="00190701">
      <w:pPr>
        <w:pStyle w:val="BoxTextBullet"/>
      </w:pPr>
      <w:r>
        <w:t>Inspector-</w:t>
      </w:r>
      <w:r w:rsidR="001D46F6">
        <w:t>g</w:t>
      </w:r>
      <w:r>
        <w:t>eneral’s assessment:</w:t>
      </w:r>
      <w:r w:rsidR="00626FF4" w:rsidRPr="00626FF4">
        <w:t xml:space="preserve"> Implemented – </w:t>
      </w:r>
      <w:r w:rsidR="00626FF4">
        <w:t>o</w:t>
      </w:r>
      <w:r w:rsidR="00626FF4" w:rsidRPr="00626FF4">
        <w:t>ngoing</w:t>
      </w:r>
    </w:p>
    <w:p w14:paraId="000D9A96" w14:textId="77777777" w:rsidR="0047319B" w:rsidRDefault="0047319B" w:rsidP="00A77D42">
      <w:pPr>
        <w:pStyle w:val="Heading4"/>
      </w:pPr>
      <w:r>
        <w:t>Department’s response: Support</w:t>
      </w:r>
    </w:p>
    <w:p w14:paraId="0D82BB12" w14:textId="65121C2B" w:rsidR="000975F5" w:rsidRDefault="008E3B98" w:rsidP="008E3B98">
      <w:r w:rsidRPr="008E3B98">
        <w:t xml:space="preserve">On 18 </w:t>
      </w:r>
      <w:r w:rsidRPr="00654C64">
        <w:t xml:space="preserve">March 2019, </w:t>
      </w:r>
      <w:r w:rsidR="007F3558" w:rsidRPr="00654C64">
        <w:t>t</w:t>
      </w:r>
      <w:r w:rsidRPr="00654C64">
        <w:t xml:space="preserve">he Minister </w:t>
      </w:r>
      <w:r w:rsidR="007F3558" w:rsidRPr="00654C64">
        <w:t xml:space="preserve">for Agriculture </w:t>
      </w:r>
      <w:r w:rsidRPr="00654C64">
        <w:t>appointed</w:t>
      </w:r>
      <w:r w:rsidRPr="008E3B98">
        <w:t xml:space="preserve"> Mr Ross Carter as Interim Inspector-General of Live Animal Exports. The Inspector-General of Live Animal Exports </w:t>
      </w:r>
      <w:r w:rsidR="008F6DF9">
        <w:t>Bill</w:t>
      </w:r>
      <w:r w:rsidRPr="008E3B98">
        <w:t xml:space="preserve"> 2019 passed both houses of </w:t>
      </w:r>
      <w:r w:rsidR="007F3558">
        <w:t>p</w:t>
      </w:r>
      <w:r w:rsidRPr="008E3B98">
        <w:t xml:space="preserve">arliament on 18 September 2019, with legislation coming into effect on </w:t>
      </w:r>
      <w:r w:rsidR="007F3558" w:rsidRPr="008E3B98">
        <w:t>3</w:t>
      </w:r>
      <w:r w:rsidR="007F3558">
        <w:t> </w:t>
      </w:r>
      <w:r w:rsidRPr="008E3B98">
        <w:t>October 2019.</w:t>
      </w:r>
      <w:r w:rsidR="00D36572">
        <w:t xml:space="preserve"> Mr Carter was appointed as the Inspector-General of Live Animal Exports for 12 months from 11 December 2019 and was appointed for a further 4 years from 11 December 2020.</w:t>
      </w:r>
    </w:p>
    <w:p w14:paraId="6B4F56BC" w14:textId="222B2B6E" w:rsidR="000975F5" w:rsidRPr="003238A7" w:rsidRDefault="008E3B98" w:rsidP="008E3B98">
      <w:r w:rsidRPr="003238A7">
        <w:t xml:space="preserve">The </w:t>
      </w:r>
      <w:r w:rsidR="00386F4A">
        <w:t>i</w:t>
      </w:r>
      <w:r w:rsidRPr="003238A7">
        <w:t>nspector-</w:t>
      </w:r>
      <w:r w:rsidR="00386F4A">
        <w:t>g</w:t>
      </w:r>
      <w:r w:rsidRPr="003238A7">
        <w:t xml:space="preserve">eneral provided a </w:t>
      </w:r>
      <w:r w:rsidR="00826110" w:rsidRPr="003238A7">
        <w:t>3</w:t>
      </w:r>
      <w:r w:rsidRPr="003238A7">
        <w:t xml:space="preserve">-year indicative work program </w:t>
      </w:r>
      <w:r w:rsidRPr="00654C64">
        <w:t xml:space="preserve">to the Minister </w:t>
      </w:r>
      <w:r w:rsidR="007F3558" w:rsidRPr="00654C64">
        <w:t xml:space="preserve">for Agriculture </w:t>
      </w:r>
      <w:r w:rsidRPr="00654C64">
        <w:t xml:space="preserve">in June 2019. The first review into </w:t>
      </w:r>
      <w:hyperlink r:id="rId28" w:history="1">
        <w:r w:rsidR="00B832D0" w:rsidRPr="00654C64">
          <w:rPr>
            <w:rStyle w:val="Hyperlink"/>
          </w:rPr>
          <w:t xml:space="preserve">Monitoring </w:t>
        </w:r>
        <w:r w:rsidRPr="00654C64">
          <w:rPr>
            <w:rStyle w:val="Hyperlink"/>
          </w:rPr>
          <w:t>and reporting during livestock export voyages</w:t>
        </w:r>
      </w:hyperlink>
      <w:r w:rsidRPr="00654C64">
        <w:t xml:space="preserve"> was published in March 2020.</w:t>
      </w:r>
    </w:p>
    <w:p w14:paraId="403DC956" w14:textId="67357410" w:rsidR="00626FF4" w:rsidRDefault="00103977" w:rsidP="008801E3">
      <w:pPr>
        <w:pStyle w:val="BoxHeading"/>
        <w:keepNext/>
      </w:pPr>
      <w:r>
        <w:lastRenderedPageBreak/>
        <w:t>Moss Review r</w:t>
      </w:r>
      <w:r w:rsidR="008E3B98" w:rsidRPr="00141865">
        <w:t>ecommendation 18</w:t>
      </w:r>
    </w:p>
    <w:p w14:paraId="6D9CE76E" w14:textId="77777777" w:rsidR="0071284A" w:rsidRDefault="008E3B98" w:rsidP="008801E3">
      <w:pPr>
        <w:pStyle w:val="BoxText"/>
        <w:keepNext/>
      </w:pPr>
      <w:r w:rsidRPr="00141865">
        <w:t>That the department develop a system to ensure that any issues and concerns raised by staff members in the context of live animal exports are addressed in a transparent and timely manner.</w:t>
      </w:r>
    </w:p>
    <w:p w14:paraId="3576BB7C" w14:textId="1B78FF28" w:rsidR="00626FF4" w:rsidRPr="008E3402" w:rsidRDefault="00626FF4" w:rsidP="008801E3">
      <w:pPr>
        <w:pStyle w:val="BoxText"/>
        <w:keepNext/>
        <w:rPr>
          <w:b/>
          <w:bCs/>
        </w:rPr>
      </w:pPr>
      <w:r w:rsidRPr="008E3402">
        <w:rPr>
          <w:rStyle w:val="Strong"/>
        </w:rPr>
        <w:t>Implementation status</w:t>
      </w:r>
    </w:p>
    <w:p w14:paraId="2F87D930" w14:textId="093A94CE" w:rsidR="008E3B98" w:rsidRDefault="008E3B98" w:rsidP="008801E3">
      <w:pPr>
        <w:pStyle w:val="BoxTextBullet"/>
        <w:keepNext/>
      </w:pPr>
      <w:r w:rsidRPr="00190701">
        <w:t xml:space="preserve">Department’s </w:t>
      </w:r>
      <w:r w:rsidR="00626FF4">
        <w:t>assessment</w:t>
      </w:r>
      <w:r w:rsidRPr="00190701">
        <w:t>: Ongoing</w:t>
      </w:r>
    </w:p>
    <w:p w14:paraId="0F8ADD1C" w14:textId="73E4A8C7" w:rsidR="00626FF4" w:rsidRPr="00190701" w:rsidRDefault="008A5824" w:rsidP="008801E3">
      <w:pPr>
        <w:pStyle w:val="BoxTextBullet"/>
        <w:keepNext/>
      </w:pPr>
      <w:r>
        <w:t>Inspector-</w:t>
      </w:r>
      <w:r w:rsidR="001D46F6">
        <w:t>g</w:t>
      </w:r>
      <w:r>
        <w:t>eneral’s assessment:</w:t>
      </w:r>
      <w:r w:rsidR="00626FF4" w:rsidRPr="00626FF4">
        <w:t xml:space="preserve"> </w:t>
      </w:r>
      <w:r w:rsidR="005708F2">
        <w:t>Implemented - o</w:t>
      </w:r>
      <w:r w:rsidR="00626FF4" w:rsidRPr="00626FF4">
        <w:t>ngoing</w:t>
      </w:r>
    </w:p>
    <w:p w14:paraId="740FD5BE" w14:textId="77777777" w:rsidR="0047319B" w:rsidRDefault="0047319B" w:rsidP="00A77D42">
      <w:pPr>
        <w:pStyle w:val="Heading4"/>
      </w:pPr>
      <w:r>
        <w:t>Department’s response: Support</w:t>
      </w:r>
    </w:p>
    <w:p w14:paraId="774F1936" w14:textId="7B74C5E1" w:rsidR="000975F5" w:rsidRDefault="00FD4C01" w:rsidP="008E3B98">
      <w:r w:rsidRPr="00FD4C01">
        <w:t xml:space="preserve">A whistleblower hotline was established in April 2018. Information about the hotline is available on the department’s website and can be used both by staff and the public. The Australian Meat and Live-stock Industry (Export of Sheep by Sea to the Middle East) Order 2018 also requires all exporters to display posters with information about the whistleblower hotline at all registered premises, embarkation ports and vessels. </w:t>
      </w:r>
    </w:p>
    <w:p w14:paraId="6D72C5E3" w14:textId="364D19FB" w:rsidR="008E3B98" w:rsidRPr="008E3B98" w:rsidRDefault="004F18CF" w:rsidP="008E3B98">
      <w:r>
        <w:t>T</w:t>
      </w:r>
      <w:r w:rsidR="008E3B98" w:rsidRPr="008E3B98">
        <w:t xml:space="preserve">he </w:t>
      </w:r>
      <w:r w:rsidR="008B4CBD">
        <w:t xml:space="preserve">Plant and </w:t>
      </w:r>
      <w:r w:rsidR="008E3B98" w:rsidRPr="008E3B98">
        <w:t>Live Animal Export</w:t>
      </w:r>
      <w:r w:rsidR="00190701">
        <w:t>s</w:t>
      </w:r>
      <w:r w:rsidR="008E3B98" w:rsidRPr="008E3B98">
        <w:t xml:space="preserve"> Division </w:t>
      </w:r>
      <w:r>
        <w:t>continues its work</w:t>
      </w:r>
      <w:r w:rsidR="008E3B98" w:rsidRPr="008E3B98">
        <w:t xml:space="preserve"> to create a culture of open engagement. This is demonstrated through regular stand-up</w:t>
      </w:r>
      <w:r>
        <w:t xml:space="preserve"> meeting</w:t>
      </w:r>
      <w:r w:rsidR="008E3B98" w:rsidRPr="008E3B98">
        <w:t xml:space="preserve">s led by the Principal Regulatory Officer for Live Animal Exports, with input from branch heads. The leadership team have regular discussions with staff to ensure people feel comfortable </w:t>
      </w:r>
      <w:r>
        <w:t>about</w:t>
      </w:r>
      <w:r w:rsidR="008E3B98" w:rsidRPr="008E3B98">
        <w:t xml:space="preserve"> </w:t>
      </w:r>
      <w:r>
        <w:t>raising</w:t>
      </w:r>
      <w:r w:rsidR="008E3B98" w:rsidRPr="008E3B98">
        <w:t xml:space="preserve"> concerns.</w:t>
      </w:r>
    </w:p>
    <w:p w14:paraId="19414B63" w14:textId="1516C5B1" w:rsidR="008E3B98" w:rsidRPr="008E3B98" w:rsidRDefault="008E3B98" w:rsidP="008E3B98">
      <w:r w:rsidRPr="008E3B98">
        <w:t xml:space="preserve">Within </w:t>
      </w:r>
      <w:r w:rsidR="00A81610" w:rsidRPr="00A81610">
        <w:t xml:space="preserve">Veterinary and Export Meat </w:t>
      </w:r>
      <w:r w:rsidR="00733A33">
        <w:t xml:space="preserve">Branch </w:t>
      </w:r>
      <w:r w:rsidRPr="008E3B98">
        <w:t xml:space="preserve">staff issues and concerns in relation to live animal exports can be raised via </w:t>
      </w:r>
      <w:r w:rsidR="00E90494">
        <w:t>Biosecurity and Exports Risk Tool (</w:t>
      </w:r>
      <w:r w:rsidRPr="008E3B98">
        <w:t>BERT</w:t>
      </w:r>
      <w:r w:rsidR="00E90494">
        <w:t>)</w:t>
      </w:r>
      <w:r w:rsidRPr="008E3B98">
        <w:t xml:space="preserve">, the Live Animal Export Management Committee (LAEMC) issues register, </w:t>
      </w:r>
      <w:r w:rsidR="004F18CF">
        <w:t xml:space="preserve">and </w:t>
      </w:r>
      <w:r w:rsidRPr="008E3B98">
        <w:t xml:space="preserve">Livestock Export Compliance Rating (LECR) spreadsheet. The </w:t>
      </w:r>
      <w:r w:rsidR="008B4CBD">
        <w:t>Veterinary and Export Meat Branc</w:t>
      </w:r>
      <w:r w:rsidR="008B4CBD" w:rsidRPr="00DB0FCB">
        <w:t xml:space="preserve">h </w:t>
      </w:r>
      <w:r w:rsidRPr="008E3B98">
        <w:t>team site is used as a platform to discuss issues</w:t>
      </w:r>
      <w:r w:rsidR="00D4504E">
        <w:t>,</w:t>
      </w:r>
      <w:r w:rsidRPr="008E3B98">
        <w:t xml:space="preserve"> and staff are consulted about topics they would like include in the </w:t>
      </w:r>
      <w:r w:rsidR="00190701">
        <w:t>veterinary officer</w:t>
      </w:r>
      <w:r w:rsidR="00190701" w:rsidRPr="008E3B98">
        <w:t xml:space="preserve"> </w:t>
      </w:r>
      <w:r w:rsidRPr="008E3B98">
        <w:t>workshops. Information on high</w:t>
      </w:r>
      <w:r w:rsidR="005E000E">
        <w:t>-</w:t>
      </w:r>
      <w:r w:rsidRPr="008E3B98">
        <w:t>profile decisions is shared and discussed with staff.</w:t>
      </w:r>
    </w:p>
    <w:p w14:paraId="3374F7DA" w14:textId="7E4D1014" w:rsidR="000B2309" w:rsidRDefault="00103977" w:rsidP="00EC4E36">
      <w:pPr>
        <w:pStyle w:val="BoxHeading"/>
      </w:pPr>
      <w:r>
        <w:t>Moss Review r</w:t>
      </w:r>
      <w:r w:rsidR="008E3B98" w:rsidRPr="00141865">
        <w:t>ec</w:t>
      </w:r>
      <w:r w:rsidR="008E3B98" w:rsidRPr="00B7620F">
        <w:t>ommendation 26</w:t>
      </w:r>
    </w:p>
    <w:p w14:paraId="0BDA5D67" w14:textId="6D6ECAE5" w:rsidR="008E3B98" w:rsidRPr="00B7620F" w:rsidRDefault="008E3B98" w:rsidP="00EC4E36">
      <w:pPr>
        <w:pStyle w:val="BoxText"/>
      </w:pPr>
      <w:r w:rsidRPr="00141865">
        <w:t>That the department work with the states and territories to review jurisdictional and operational arrangements between the department and relevant state and territory authorities.</w:t>
      </w:r>
    </w:p>
    <w:p w14:paraId="29552B48" w14:textId="77777777" w:rsidR="000B2309" w:rsidRPr="008E3402" w:rsidRDefault="000B2309" w:rsidP="000B2309">
      <w:pPr>
        <w:pStyle w:val="BoxText"/>
        <w:rPr>
          <w:b/>
          <w:bCs/>
        </w:rPr>
      </w:pPr>
      <w:r w:rsidRPr="008E3402">
        <w:rPr>
          <w:rStyle w:val="Strong"/>
        </w:rPr>
        <w:t>Implementation status</w:t>
      </w:r>
    </w:p>
    <w:p w14:paraId="533DEC0B" w14:textId="49A29C25" w:rsidR="008E3B98" w:rsidRDefault="008E3B98" w:rsidP="00190701">
      <w:pPr>
        <w:pStyle w:val="BoxTextBullet"/>
      </w:pPr>
      <w:r w:rsidRPr="000B2309">
        <w:t xml:space="preserve">Department’s </w:t>
      </w:r>
      <w:r w:rsidR="000B2309">
        <w:t>assessment</w:t>
      </w:r>
      <w:r w:rsidRPr="000B2309">
        <w:t>: In progress</w:t>
      </w:r>
    </w:p>
    <w:p w14:paraId="214FF51F" w14:textId="79B7FF55" w:rsidR="000B2309" w:rsidRPr="00141865" w:rsidRDefault="008A5824" w:rsidP="00190701">
      <w:pPr>
        <w:pStyle w:val="BoxTextBullet"/>
      </w:pPr>
      <w:r>
        <w:t>Inspector-</w:t>
      </w:r>
      <w:r w:rsidR="001D46F6">
        <w:t>g</w:t>
      </w:r>
      <w:r>
        <w:t>eneral’s assessment:</w:t>
      </w:r>
      <w:r w:rsidR="00CE31A1" w:rsidRPr="00626FF4">
        <w:t xml:space="preserve"> </w:t>
      </w:r>
      <w:r w:rsidR="005133C7">
        <w:t>In progress</w:t>
      </w:r>
    </w:p>
    <w:p w14:paraId="464D15C8" w14:textId="77777777" w:rsidR="0047319B" w:rsidRDefault="0047319B" w:rsidP="00A77D42">
      <w:pPr>
        <w:pStyle w:val="Heading4"/>
      </w:pPr>
      <w:r>
        <w:t>Department’s response: Support</w:t>
      </w:r>
    </w:p>
    <w:p w14:paraId="0995419C" w14:textId="37EC91EF" w:rsidR="008E3B98" w:rsidRPr="008E3B98" w:rsidRDefault="008E3B98" w:rsidP="008E3B98">
      <w:pPr>
        <w:rPr>
          <w:iCs/>
        </w:rPr>
      </w:pPr>
      <w:r w:rsidRPr="008E3B98">
        <w:rPr>
          <w:iCs/>
        </w:rPr>
        <w:t xml:space="preserve">The department has met with state and territory </w:t>
      </w:r>
      <w:r w:rsidR="004F18CF" w:rsidRPr="008E3B98">
        <w:rPr>
          <w:iCs/>
        </w:rPr>
        <w:t>regulators</w:t>
      </w:r>
      <w:r w:rsidR="004F18CF">
        <w:rPr>
          <w:iCs/>
        </w:rPr>
        <w:t xml:space="preserve"> of</w:t>
      </w:r>
      <w:r w:rsidR="004F18CF" w:rsidRPr="008E3B98">
        <w:rPr>
          <w:iCs/>
        </w:rPr>
        <w:t xml:space="preserve"> </w:t>
      </w:r>
      <w:r w:rsidRPr="008E3B98">
        <w:rPr>
          <w:iCs/>
        </w:rPr>
        <w:t xml:space="preserve">livestock exports and animal welfare to </w:t>
      </w:r>
      <w:r w:rsidR="00964B55">
        <w:rPr>
          <w:iCs/>
        </w:rPr>
        <w:t>document</w:t>
      </w:r>
      <w:r w:rsidRPr="008E3B98">
        <w:rPr>
          <w:iCs/>
        </w:rPr>
        <w:t xml:space="preserve"> jurisdictional roles and responsibilities. A summary </w:t>
      </w:r>
      <w:r w:rsidR="008443E3">
        <w:rPr>
          <w:iCs/>
        </w:rPr>
        <w:t>statement</w:t>
      </w:r>
      <w:r w:rsidRPr="008E3B98">
        <w:rPr>
          <w:iCs/>
        </w:rPr>
        <w:t xml:space="preserve"> is being prepare</w:t>
      </w:r>
      <w:r w:rsidR="005E000E">
        <w:rPr>
          <w:iCs/>
        </w:rPr>
        <w:t>d</w:t>
      </w:r>
      <w:r w:rsidRPr="008E3B98">
        <w:rPr>
          <w:iCs/>
        </w:rPr>
        <w:t xml:space="preserve"> to </w:t>
      </w:r>
      <w:r w:rsidR="005E000E">
        <w:rPr>
          <w:iCs/>
        </w:rPr>
        <w:t>help</w:t>
      </w:r>
      <w:r w:rsidRPr="008E3B98">
        <w:rPr>
          <w:iCs/>
        </w:rPr>
        <w:t xml:space="preserve"> stakeholders understand </w:t>
      </w:r>
      <w:r w:rsidR="004F18CF">
        <w:rPr>
          <w:iCs/>
        </w:rPr>
        <w:t xml:space="preserve">roles and </w:t>
      </w:r>
      <w:r w:rsidRPr="008E3B98">
        <w:rPr>
          <w:iCs/>
        </w:rPr>
        <w:t>responsibilities along the live animal exports supply chain.</w:t>
      </w:r>
    </w:p>
    <w:p w14:paraId="41EAA171" w14:textId="78CA18EB" w:rsidR="00CE31A1" w:rsidRDefault="00103977" w:rsidP="00171170">
      <w:pPr>
        <w:pStyle w:val="BoxHeading"/>
        <w:keepNext/>
        <w:tabs>
          <w:tab w:val="left" w:pos="6636"/>
        </w:tabs>
      </w:pPr>
      <w:r>
        <w:lastRenderedPageBreak/>
        <w:t>Moss Review r</w:t>
      </w:r>
      <w:r w:rsidR="008E3B98" w:rsidRPr="00141865">
        <w:t>ecommendati</w:t>
      </w:r>
      <w:r w:rsidR="008E3B98" w:rsidRPr="00B7620F">
        <w:t>on 27</w:t>
      </w:r>
    </w:p>
    <w:p w14:paraId="58FF7E7B" w14:textId="25C7279A" w:rsidR="008E3B98" w:rsidRPr="00B7620F" w:rsidRDefault="008E3B98" w:rsidP="00171170">
      <w:pPr>
        <w:pStyle w:val="BoxText"/>
        <w:keepNext/>
      </w:pPr>
      <w:r w:rsidRPr="00141865">
        <w:t>That the department engage with the states and territories and other stakeholders to develop national animal welfare coordination to improve animal welfare outcomes in relation to live animal exports.</w:t>
      </w:r>
    </w:p>
    <w:p w14:paraId="7AE8606F" w14:textId="77777777" w:rsidR="00CE31A1" w:rsidRPr="008E3402" w:rsidRDefault="00CE31A1" w:rsidP="00171170">
      <w:pPr>
        <w:pStyle w:val="BoxText"/>
        <w:keepNext/>
        <w:rPr>
          <w:b/>
          <w:bCs/>
        </w:rPr>
      </w:pPr>
      <w:r w:rsidRPr="008E3402">
        <w:rPr>
          <w:rStyle w:val="Strong"/>
        </w:rPr>
        <w:t>Implementation status</w:t>
      </w:r>
    </w:p>
    <w:p w14:paraId="5CA42CCB" w14:textId="6E015AEE" w:rsidR="008E3B98" w:rsidRPr="00190701" w:rsidRDefault="008E3B98" w:rsidP="00171170">
      <w:pPr>
        <w:pStyle w:val="BoxTextBullet"/>
        <w:keepNext/>
      </w:pPr>
      <w:r w:rsidRPr="00190701">
        <w:t xml:space="preserve">Department’s </w:t>
      </w:r>
      <w:r w:rsidR="00CE31A1">
        <w:t>assessment</w:t>
      </w:r>
      <w:r w:rsidRPr="00190701">
        <w:t>: Ongoing</w:t>
      </w:r>
      <w:r w:rsidR="00E82B8E">
        <w:t xml:space="preserve"> </w:t>
      </w:r>
    </w:p>
    <w:p w14:paraId="30871658" w14:textId="37B1AD07" w:rsidR="000975F5" w:rsidRPr="00B7620F" w:rsidRDefault="008A5824" w:rsidP="00171170">
      <w:pPr>
        <w:pStyle w:val="BoxTextBullet"/>
        <w:keepNext/>
      </w:pPr>
      <w:r>
        <w:t>Inspector-</w:t>
      </w:r>
      <w:r w:rsidR="001D46F6">
        <w:t>g</w:t>
      </w:r>
      <w:r>
        <w:t>eneral’s assessment:</w:t>
      </w:r>
      <w:r w:rsidR="00CE31A1" w:rsidRPr="008E3402">
        <w:t xml:space="preserve"> In progress</w:t>
      </w:r>
    </w:p>
    <w:p w14:paraId="496045DF" w14:textId="77777777" w:rsidR="00964B55" w:rsidRDefault="00964B55" w:rsidP="00A77D42">
      <w:pPr>
        <w:pStyle w:val="Heading4"/>
      </w:pPr>
      <w:r>
        <w:t>Department’s response: Support</w:t>
      </w:r>
    </w:p>
    <w:p w14:paraId="03C95BCD" w14:textId="253FAD0E" w:rsidR="00964B55" w:rsidRDefault="00964B55" w:rsidP="00C43831">
      <w:r>
        <w:t>See department’s response to recommendation 26.</w:t>
      </w:r>
    </w:p>
    <w:p w14:paraId="45CE4F19" w14:textId="791B890E" w:rsidR="00964B55" w:rsidRPr="004479F5" w:rsidRDefault="00964B55" w:rsidP="00A77D42">
      <w:pPr>
        <w:pStyle w:val="Heading4"/>
      </w:pPr>
      <w:r w:rsidRPr="004479F5">
        <w:t>Inspector-</w:t>
      </w:r>
      <w:r w:rsidR="001D46F6">
        <w:t>g</w:t>
      </w:r>
      <w:r w:rsidRPr="004479F5">
        <w:t>eneral’s assessment</w:t>
      </w:r>
    </w:p>
    <w:p w14:paraId="0EE0E01B" w14:textId="5E167740" w:rsidR="00C43831" w:rsidRPr="008E3B98" w:rsidRDefault="00C43831" w:rsidP="00C43831">
      <w:r w:rsidRPr="008E3B98">
        <w:t xml:space="preserve">The department has consulted with state and territory governments to clarify the roles, responsibilities and regulatory activities of each jurisdiction. </w:t>
      </w:r>
    </w:p>
    <w:p w14:paraId="5310338A" w14:textId="50F71B67" w:rsidR="00F373EB" w:rsidRDefault="00F373EB" w:rsidP="00C43831">
      <w:r>
        <w:t>A nationally consistent approach to animal welfare standards is required</w:t>
      </w:r>
      <w:r w:rsidR="00AA1842">
        <w:t>, as</w:t>
      </w:r>
      <w:r>
        <w:t xml:space="preserve"> noted by </w:t>
      </w:r>
      <w:r w:rsidR="005349B3">
        <w:t xml:space="preserve">a </w:t>
      </w:r>
      <w:r>
        <w:t>submission to this review:</w:t>
      </w:r>
    </w:p>
    <w:p w14:paraId="625E87AE" w14:textId="0AD41378" w:rsidR="00F373EB" w:rsidRDefault="00F373EB" w:rsidP="00F373EB">
      <w:pPr>
        <w:pStyle w:val="Quote"/>
      </w:pPr>
      <w:r>
        <w:t xml:space="preserve">… </w:t>
      </w:r>
      <w:r w:rsidRPr="00F373EB">
        <w:t>both the standards for cattle and sheep, developed jointly by industry and government, have been endorsed by all jurisdictions, but have not been adopted by all states and territories. The department has a responsibility to promote consistency in application and assessment of animal welfare outcomes</w:t>
      </w:r>
      <w:r>
        <w:t xml:space="preserve"> (</w:t>
      </w:r>
      <w:r w:rsidR="007E106B">
        <w:t>NFF 2020</w:t>
      </w:r>
      <w:r w:rsidRPr="001D71C2">
        <w:t>).</w:t>
      </w:r>
    </w:p>
    <w:p w14:paraId="41BBD694" w14:textId="0FF14CD4" w:rsidR="00C43831" w:rsidRPr="008E3B98" w:rsidRDefault="00AA1842" w:rsidP="00C43831">
      <w:r>
        <w:t>Moss</w:t>
      </w:r>
      <w:r w:rsidR="00C43831" w:rsidRPr="008E3B98">
        <w:t xml:space="preserve"> recommendation </w:t>
      </w:r>
      <w:r>
        <w:t xml:space="preserve">27 </w:t>
      </w:r>
      <w:r w:rsidR="00C43831" w:rsidRPr="008E3B98">
        <w:t>was also intended to ensure that members of the public could easily identify jurisdictional responsibilities and report their concerns for timely consideration and response</w:t>
      </w:r>
      <w:r w:rsidR="00213B3D">
        <w:t>,</w:t>
      </w:r>
      <w:r w:rsidR="00C43831" w:rsidRPr="008E3B98">
        <w:t xml:space="preserve"> as </w:t>
      </w:r>
      <w:r w:rsidR="00213B3D">
        <w:t xml:space="preserve">discussed in relation to </w:t>
      </w:r>
      <w:r w:rsidR="006932ED">
        <w:t>Moss Review</w:t>
      </w:r>
      <w:r w:rsidR="00C96E72">
        <w:t xml:space="preserve"> </w:t>
      </w:r>
      <w:r w:rsidR="00C43831" w:rsidRPr="008E3B98">
        <w:t>recommendation 8.</w:t>
      </w:r>
    </w:p>
    <w:p w14:paraId="40DC6A2B" w14:textId="5BD6443E" w:rsidR="00103977" w:rsidRDefault="00103977" w:rsidP="00190701">
      <w:pPr>
        <w:pStyle w:val="BoxHeading"/>
      </w:pPr>
      <w:r>
        <w:t>Moss Review r</w:t>
      </w:r>
      <w:r w:rsidR="008E3B98" w:rsidRPr="00141865">
        <w:t>ecommendation 29</w:t>
      </w:r>
    </w:p>
    <w:p w14:paraId="425D6543" w14:textId="587EBEBA" w:rsidR="008E3B98" w:rsidRDefault="008E3B98" w:rsidP="00445C60">
      <w:pPr>
        <w:pStyle w:val="BoxText"/>
      </w:pPr>
      <w:r w:rsidRPr="00445C60">
        <w:t>That the department and the Australian Maritime Safety Authority, in their respective regulatory roles, develop and maintain a collaborative relationship for the effective regulation of live animal exports.</w:t>
      </w:r>
    </w:p>
    <w:p w14:paraId="28989630" w14:textId="5A9EA533" w:rsidR="00445C60" w:rsidRPr="00190701" w:rsidRDefault="00445C60" w:rsidP="00190701">
      <w:pPr>
        <w:pStyle w:val="BoxText"/>
        <w:rPr>
          <w:b/>
          <w:bCs/>
        </w:rPr>
      </w:pPr>
      <w:r w:rsidRPr="008E3402">
        <w:rPr>
          <w:rStyle w:val="Strong"/>
        </w:rPr>
        <w:t>Implementation status</w:t>
      </w:r>
    </w:p>
    <w:p w14:paraId="140291BC" w14:textId="7C499A89" w:rsidR="008E3B98" w:rsidRPr="00190701" w:rsidRDefault="008E3B98" w:rsidP="00190701">
      <w:pPr>
        <w:pStyle w:val="BoxTextBullet"/>
      </w:pPr>
      <w:r w:rsidRPr="00190701">
        <w:t xml:space="preserve">Department’s </w:t>
      </w:r>
      <w:r w:rsidR="00445C60" w:rsidRPr="00190701">
        <w:t>assessment</w:t>
      </w:r>
      <w:r w:rsidRPr="00190701">
        <w:t>: Ongoing</w:t>
      </w:r>
      <w:r w:rsidR="00E82B8E">
        <w:t xml:space="preserve"> </w:t>
      </w:r>
    </w:p>
    <w:p w14:paraId="07C8A912" w14:textId="42A6DA0D" w:rsidR="007C0871" w:rsidRPr="00190701" w:rsidRDefault="008A5824" w:rsidP="00190701">
      <w:pPr>
        <w:pStyle w:val="BoxTextBullet"/>
      </w:pPr>
      <w:r>
        <w:t>Inspector-</w:t>
      </w:r>
      <w:r w:rsidR="001D46F6">
        <w:t>g</w:t>
      </w:r>
      <w:r>
        <w:t>eneral’s assessment:</w:t>
      </w:r>
      <w:r w:rsidR="007C0871" w:rsidRPr="00190701">
        <w:t xml:space="preserve"> </w:t>
      </w:r>
      <w:r w:rsidR="00946619">
        <w:t>Implemented - o</w:t>
      </w:r>
      <w:r w:rsidR="007C0871" w:rsidRPr="00190701">
        <w:t>ngoing</w:t>
      </w:r>
    </w:p>
    <w:p w14:paraId="10FF18B0" w14:textId="77777777" w:rsidR="00964B55" w:rsidRDefault="00964B55" w:rsidP="00A77D42">
      <w:pPr>
        <w:pStyle w:val="Heading4"/>
      </w:pPr>
      <w:r>
        <w:t>Department’s response: Support</w:t>
      </w:r>
    </w:p>
    <w:p w14:paraId="419D9D55" w14:textId="2562D7EE" w:rsidR="008E3B98" w:rsidRPr="008E3B98" w:rsidRDefault="008E3B98" w:rsidP="008E3B98">
      <w:r w:rsidRPr="008E3B98">
        <w:t xml:space="preserve">On 8 May 2019, the department and </w:t>
      </w:r>
      <w:r w:rsidR="006238D8">
        <w:t xml:space="preserve">the </w:t>
      </w:r>
      <w:r w:rsidR="004F18CF" w:rsidRPr="00445C60">
        <w:t>Australian Maritime Safety Authority</w:t>
      </w:r>
      <w:r w:rsidR="004F18CF" w:rsidRPr="008E3B98">
        <w:t xml:space="preserve"> </w:t>
      </w:r>
      <w:r w:rsidR="004F18CF">
        <w:t>(</w:t>
      </w:r>
      <w:r w:rsidRPr="008E3B98">
        <w:t>AMSA</w:t>
      </w:r>
      <w:r w:rsidR="004F18CF">
        <w:t>)</w:t>
      </w:r>
      <w:r w:rsidRPr="008E3B98">
        <w:t xml:space="preserve"> signed a formal information</w:t>
      </w:r>
      <w:r w:rsidR="00C66DAC">
        <w:t>-</w:t>
      </w:r>
      <w:r w:rsidRPr="008E3B98">
        <w:t>sharing agreement to help clarify expecta</w:t>
      </w:r>
      <w:r w:rsidR="00D5247C">
        <w:t>tions</w:t>
      </w:r>
      <w:r w:rsidRPr="008E3B98">
        <w:t xml:space="preserve"> and provide a clear foundation for inter</w:t>
      </w:r>
      <w:r w:rsidR="00E8147C">
        <w:t>-</w:t>
      </w:r>
      <w:r w:rsidRPr="008E3B98">
        <w:t>agency cooperation.</w:t>
      </w:r>
    </w:p>
    <w:p w14:paraId="5C4EE847" w14:textId="63381FD4" w:rsidR="008E3B98" w:rsidRPr="008E3B98" w:rsidRDefault="008E3B98" w:rsidP="008E3B98">
      <w:r w:rsidRPr="008E3B98">
        <w:t>At a local level</w:t>
      </w:r>
      <w:r w:rsidR="00E8147C">
        <w:t>,</w:t>
      </w:r>
      <w:r w:rsidR="00190701">
        <w:t xml:space="preserve"> regional veterinary officers </w:t>
      </w:r>
      <w:r w:rsidR="00E8147C">
        <w:t>(</w:t>
      </w:r>
      <w:r w:rsidRPr="008E3B98">
        <w:t>RVOs</w:t>
      </w:r>
      <w:r w:rsidR="00E8147C">
        <w:t>)</w:t>
      </w:r>
      <w:r w:rsidRPr="008E3B98">
        <w:t xml:space="preserve"> may engage ad hoc with AMSA personnel during a livestock inspection on the wharf or via email if</w:t>
      </w:r>
      <w:r w:rsidR="00E8147C">
        <w:t xml:space="preserve"> there are</w:t>
      </w:r>
      <w:r w:rsidRPr="008E3B98">
        <w:t xml:space="preserve"> </w:t>
      </w:r>
      <w:r w:rsidR="00E8147C">
        <w:t xml:space="preserve">vessel-related </w:t>
      </w:r>
      <w:r w:rsidRPr="008E3B98">
        <w:t>issues that the RVO needs to be aware of.</w:t>
      </w:r>
      <w:r w:rsidR="008B5FF3">
        <w:t xml:space="preserve"> The </w:t>
      </w:r>
      <w:r w:rsidR="00E8147C">
        <w:t>independent observer</w:t>
      </w:r>
      <w:r w:rsidRPr="008E3B98">
        <w:t xml:space="preserve"> </w:t>
      </w:r>
      <w:r w:rsidR="008B5FF3">
        <w:t>p</w:t>
      </w:r>
      <w:r w:rsidRPr="008E3B98">
        <w:t>rogram is represented at the regular meeting between AMSA and the department.</w:t>
      </w:r>
    </w:p>
    <w:p w14:paraId="5C027D95" w14:textId="2799BE93" w:rsidR="00964B55" w:rsidRDefault="00964B55" w:rsidP="00A77D42">
      <w:pPr>
        <w:pStyle w:val="Heading4"/>
      </w:pPr>
      <w:r w:rsidRPr="004479F5">
        <w:lastRenderedPageBreak/>
        <w:t>Inspector-</w:t>
      </w:r>
      <w:r w:rsidR="001552A4">
        <w:t>g</w:t>
      </w:r>
      <w:r w:rsidRPr="004479F5">
        <w:t>eneral’s assessment</w:t>
      </w:r>
    </w:p>
    <w:p w14:paraId="40794913" w14:textId="1D49A00D" w:rsidR="007E79D5" w:rsidRPr="00345523" w:rsidRDefault="007E79D5" w:rsidP="0045278E">
      <w:pPr>
        <w:keepNext/>
      </w:pPr>
      <w:r w:rsidRPr="00787AC2">
        <w:t>The</w:t>
      </w:r>
      <w:r>
        <w:t xml:space="preserve"> </w:t>
      </w:r>
      <w:r w:rsidR="00884156">
        <w:t>i</w:t>
      </w:r>
      <w:r w:rsidR="00C96E72">
        <w:t>nspector-</w:t>
      </w:r>
      <w:r w:rsidR="00884156">
        <w:t>g</w:t>
      </w:r>
      <w:r w:rsidR="00C96E72">
        <w:t xml:space="preserve">eneral </w:t>
      </w:r>
      <w:r>
        <w:t>notes the improved coordination and cooperation between the department and AMSA. There may be further opportunities for the organisations to explore joint operational activity and intelligence sharing.</w:t>
      </w:r>
    </w:p>
    <w:p w14:paraId="51220011" w14:textId="2C8DE585" w:rsidR="00445C60" w:rsidRDefault="00103977" w:rsidP="00190701">
      <w:pPr>
        <w:pStyle w:val="BoxHeading"/>
      </w:pPr>
      <w:r>
        <w:t>Moss Review r</w:t>
      </w:r>
      <w:r w:rsidR="008E3B98" w:rsidRPr="008E3B98">
        <w:t>ecommendation 30</w:t>
      </w:r>
    </w:p>
    <w:p w14:paraId="425E89B7" w14:textId="13B53681" w:rsidR="008E3B98" w:rsidRDefault="008E3B98" w:rsidP="007C0871">
      <w:pPr>
        <w:pStyle w:val="BoxText"/>
      </w:pPr>
      <w:r w:rsidRPr="008E3B98">
        <w:t>That the department establish appropriate forums to consult with stakeholders and assess community expectations.</w:t>
      </w:r>
    </w:p>
    <w:p w14:paraId="5D146C9F" w14:textId="2628C7C6" w:rsidR="00445C60" w:rsidRPr="00190701" w:rsidRDefault="00445C60" w:rsidP="00190701">
      <w:pPr>
        <w:pStyle w:val="BoxText"/>
        <w:rPr>
          <w:b/>
          <w:bCs/>
        </w:rPr>
      </w:pPr>
      <w:r w:rsidRPr="008E3402">
        <w:rPr>
          <w:rStyle w:val="Strong"/>
        </w:rPr>
        <w:t>Implementation status</w:t>
      </w:r>
    </w:p>
    <w:p w14:paraId="3FD61BA7" w14:textId="15C0E712" w:rsidR="008E3B98" w:rsidRPr="00141865" w:rsidRDefault="008E3B98" w:rsidP="00190701">
      <w:pPr>
        <w:pStyle w:val="BoxTextBullet"/>
      </w:pPr>
      <w:r w:rsidRPr="00141865">
        <w:t xml:space="preserve">Department’s </w:t>
      </w:r>
      <w:r w:rsidR="00445C60">
        <w:t>assessment</w:t>
      </w:r>
      <w:r w:rsidRPr="00141865">
        <w:t>: Complete</w:t>
      </w:r>
    </w:p>
    <w:p w14:paraId="7EE94528" w14:textId="7E5DB01E" w:rsidR="007C0871" w:rsidRPr="00190701" w:rsidRDefault="008A5824" w:rsidP="00190701">
      <w:pPr>
        <w:pStyle w:val="BoxTextBullet"/>
      </w:pPr>
      <w:r>
        <w:t>Inspector-</w:t>
      </w:r>
      <w:r w:rsidR="001552A4">
        <w:t>g</w:t>
      </w:r>
      <w:r>
        <w:t>eneral’s assessment:</w:t>
      </w:r>
      <w:r w:rsidR="007C0871" w:rsidRPr="00141865">
        <w:t xml:space="preserve"> Implemented – ongoing</w:t>
      </w:r>
    </w:p>
    <w:p w14:paraId="79ED12A1" w14:textId="77777777" w:rsidR="00964B55" w:rsidRDefault="00964B55" w:rsidP="00A77D42">
      <w:pPr>
        <w:pStyle w:val="Heading4"/>
      </w:pPr>
      <w:r>
        <w:t>Department’s response: Support</w:t>
      </w:r>
    </w:p>
    <w:p w14:paraId="71E53DEA" w14:textId="2BD9FE1E" w:rsidR="001E592A" w:rsidRDefault="001E592A" w:rsidP="008E3B98">
      <w:pPr>
        <w:rPr>
          <w:iCs/>
        </w:rPr>
      </w:pPr>
      <w:r w:rsidRPr="001E592A">
        <w:rPr>
          <w:iCs/>
        </w:rPr>
        <w:t>The department has formally expanded engagement with industry and the community by</w:t>
      </w:r>
      <w:r w:rsidR="004A00FC">
        <w:rPr>
          <w:iCs/>
        </w:rPr>
        <w:t xml:space="preserve"> </w:t>
      </w:r>
      <w:r w:rsidRPr="001E592A">
        <w:rPr>
          <w:iCs/>
        </w:rPr>
        <w:t xml:space="preserve">establishing the </w:t>
      </w:r>
      <w:r w:rsidRPr="00293042">
        <w:rPr>
          <w:iCs/>
        </w:rPr>
        <w:t>Live Export Animal Welfare Advisory Group (LEAWAG)</w:t>
      </w:r>
      <w:r w:rsidRPr="001E592A">
        <w:rPr>
          <w:iCs/>
        </w:rPr>
        <w:t>. This group provides a forum for strategic consultation between stakeholders and the department about animal welfare practices, standards and legislation in Australia</w:t>
      </w:r>
      <w:r w:rsidR="00E64DF3">
        <w:rPr>
          <w:iCs/>
        </w:rPr>
        <w:t xml:space="preserve"> that</w:t>
      </w:r>
      <w:r w:rsidRPr="001E592A">
        <w:rPr>
          <w:iCs/>
        </w:rPr>
        <w:t xml:space="preserve"> relat</w:t>
      </w:r>
      <w:r w:rsidR="00E64DF3">
        <w:rPr>
          <w:iCs/>
        </w:rPr>
        <w:t>e</w:t>
      </w:r>
      <w:r w:rsidRPr="001E592A">
        <w:rPr>
          <w:iCs/>
        </w:rPr>
        <w:t xml:space="preserve"> to the livestock export trade. </w:t>
      </w:r>
      <w:r w:rsidR="006238D8">
        <w:t>LEAWAG</w:t>
      </w:r>
      <w:r w:rsidRPr="001E592A">
        <w:rPr>
          <w:iCs/>
        </w:rPr>
        <w:t xml:space="preserve"> brings together representatives from industry, animal welfare organisations, academia, and state and territory governments to discuss and facilitate improvements to animal welfare across the industry.</w:t>
      </w:r>
    </w:p>
    <w:p w14:paraId="13EFBE45" w14:textId="09609C89" w:rsidR="008E3B98" w:rsidRDefault="008E3B98" w:rsidP="008E3B98">
      <w:pPr>
        <w:rPr>
          <w:iCs/>
        </w:rPr>
      </w:pPr>
      <w:r w:rsidRPr="008E3B98">
        <w:rPr>
          <w:iCs/>
        </w:rPr>
        <w:t xml:space="preserve">The department has introduced an online consultation portal </w:t>
      </w:r>
      <w:hyperlink r:id="rId29" w:history="1">
        <w:r w:rsidRPr="006238D8">
          <w:rPr>
            <w:rStyle w:val="Hyperlink"/>
            <w:iCs/>
          </w:rPr>
          <w:t>Have Your Say</w:t>
        </w:r>
      </w:hyperlink>
      <w:r w:rsidRPr="008E3B98">
        <w:rPr>
          <w:iCs/>
        </w:rPr>
        <w:t xml:space="preserve">, which enables stakeholders and the community to present their views on issues being considered by the department, including </w:t>
      </w:r>
      <w:r w:rsidR="006238D8">
        <w:rPr>
          <w:iCs/>
        </w:rPr>
        <w:t>those</w:t>
      </w:r>
      <w:r w:rsidRPr="008E3B98">
        <w:rPr>
          <w:iCs/>
        </w:rPr>
        <w:t xml:space="preserve"> relati</w:t>
      </w:r>
      <w:r w:rsidR="006238D8">
        <w:rPr>
          <w:iCs/>
        </w:rPr>
        <w:t>ng</w:t>
      </w:r>
      <w:r w:rsidRPr="008E3B98">
        <w:rPr>
          <w:iCs/>
        </w:rPr>
        <w:t xml:space="preserve"> to live animal exports and animal welfare.</w:t>
      </w:r>
    </w:p>
    <w:p w14:paraId="4F65A0B5" w14:textId="28F66036" w:rsidR="005133C7" w:rsidRDefault="005133C7" w:rsidP="00A77D42">
      <w:pPr>
        <w:pStyle w:val="Heading4"/>
      </w:pPr>
      <w:r w:rsidRPr="004479F5">
        <w:t>Inspector-</w:t>
      </w:r>
      <w:r w:rsidR="001552A4">
        <w:t>g</w:t>
      </w:r>
      <w:r w:rsidRPr="004479F5">
        <w:t>eneral</w:t>
      </w:r>
      <w:r w:rsidR="00602AA6" w:rsidRPr="004479F5">
        <w:t>’s</w:t>
      </w:r>
      <w:r w:rsidRPr="004479F5">
        <w:t xml:space="preserve"> assessment</w:t>
      </w:r>
    </w:p>
    <w:p w14:paraId="29E2014C" w14:textId="7B39F7AA" w:rsidR="005133C7" w:rsidRPr="005133C7" w:rsidRDefault="008E3B98" w:rsidP="005133C7">
      <w:r w:rsidRPr="008E3B98">
        <w:t xml:space="preserve">The </w:t>
      </w:r>
      <w:r w:rsidR="00884156">
        <w:t>i</w:t>
      </w:r>
      <w:r w:rsidR="005133C7">
        <w:t>nspector-</w:t>
      </w:r>
      <w:r w:rsidR="00884156">
        <w:t>g</w:t>
      </w:r>
      <w:r w:rsidR="005133C7">
        <w:t>eneral</w:t>
      </w:r>
      <w:r w:rsidRPr="008E3B98">
        <w:t xml:space="preserve"> considers the </w:t>
      </w:r>
      <w:r w:rsidR="001E0EED">
        <w:t>LEAWAG a</w:t>
      </w:r>
      <w:r w:rsidRPr="008E3B98">
        <w:t xml:space="preserve"> useful forum for the department to disseminate information to stakeholders. However, feedback from stakeholders indicates that the group is too large to effectively manage constructive input and the information flow is largely one</w:t>
      </w:r>
      <w:r w:rsidR="00E64DF3">
        <w:t>-</w:t>
      </w:r>
      <w:r w:rsidRPr="008E3B98">
        <w:t>directional.</w:t>
      </w:r>
      <w:r w:rsidR="0025552C">
        <w:t xml:space="preserve"> </w:t>
      </w:r>
      <w:r w:rsidR="00E64DF3">
        <w:t>T</w:t>
      </w:r>
      <w:r w:rsidR="0025552C">
        <w:t>h</w:t>
      </w:r>
      <w:r w:rsidR="00E64DF3">
        <w:t>e</w:t>
      </w:r>
      <w:r w:rsidR="0025552C">
        <w:t xml:space="preserve"> often widely disparate views across stakeholder groups also detract from the forum being useful for constructive input.</w:t>
      </w:r>
      <w:r w:rsidRPr="008E3B98">
        <w:t xml:space="preserve"> The </w:t>
      </w:r>
      <w:r w:rsidR="00884156">
        <w:t>i</w:t>
      </w:r>
      <w:r w:rsidR="00964B55">
        <w:t>nspector-</w:t>
      </w:r>
      <w:r w:rsidR="00884156">
        <w:t>g</w:t>
      </w:r>
      <w:r w:rsidR="00964B55">
        <w:t>eneral</w:t>
      </w:r>
      <w:r w:rsidRPr="008E3B98">
        <w:t xml:space="preserve"> suggests that</w:t>
      </w:r>
      <w:r w:rsidR="00B054F5">
        <w:t xml:space="preserve"> </w:t>
      </w:r>
      <w:r w:rsidR="00EB5340">
        <w:t xml:space="preserve">the department </w:t>
      </w:r>
      <w:r w:rsidR="00B054F5">
        <w:t xml:space="preserve">also </w:t>
      </w:r>
      <w:r w:rsidR="00EB5340">
        <w:t>establish a focused</w:t>
      </w:r>
      <w:r w:rsidRPr="008E3B98">
        <w:t xml:space="preserve"> set of for</w:t>
      </w:r>
      <w:r w:rsidR="00E64DF3">
        <w:t>ums</w:t>
      </w:r>
      <w:r w:rsidR="00964B55">
        <w:t xml:space="preserve"> based on stakeholder alignment</w:t>
      </w:r>
      <w:r w:rsidRPr="008E3B98">
        <w:t xml:space="preserve"> </w:t>
      </w:r>
      <w:r w:rsidR="00964B55">
        <w:t>where</w:t>
      </w:r>
      <w:r w:rsidR="00EB5340">
        <w:t xml:space="preserve"> detailed input</w:t>
      </w:r>
      <w:r w:rsidR="00964B55">
        <w:t xml:space="preserve"> is sought.</w:t>
      </w:r>
    </w:p>
    <w:p w14:paraId="23955D73" w14:textId="1A720A44" w:rsidR="00295785" w:rsidRDefault="00673BE4" w:rsidP="00F94FC8">
      <w:pPr>
        <w:pStyle w:val="Heading2"/>
      </w:pPr>
      <w:bookmarkStart w:id="30" w:name="_Toc27476183"/>
      <w:bookmarkStart w:id="31" w:name="_Toc27476184"/>
      <w:bookmarkStart w:id="32" w:name="_Best_practice_regulation"/>
      <w:bookmarkStart w:id="33" w:name="_Toc22306649"/>
      <w:bookmarkStart w:id="34" w:name="_Risk-based_regulation"/>
      <w:bookmarkStart w:id="35" w:name="_Improved_regulatory_practice"/>
      <w:bookmarkStart w:id="36" w:name="_Toc58774287"/>
      <w:bookmarkEnd w:id="30"/>
      <w:bookmarkEnd w:id="31"/>
      <w:bookmarkEnd w:id="32"/>
      <w:bookmarkEnd w:id="33"/>
      <w:bookmarkEnd w:id="34"/>
      <w:bookmarkEnd w:id="35"/>
      <w:r>
        <w:lastRenderedPageBreak/>
        <w:t>I</w:t>
      </w:r>
      <w:r w:rsidR="00295785">
        <w:t>mproved regulatory practice</w:t>
      </w:r>
      <w:bookmarkEnd w:id="36"/>
    </w:p>
    <w:p w14:paraId="71D234D6" w14:textId="53B6DB44" w:rsidR="00E64DF3" w:rsidRDefault="009B50C4" w:rsidP="001326DA">
      <w:r>
        <w:t xml:space="preserve">This </w:t>
      </w:r>
      <w:r w:rsidR="00D57F82">
        <w:t xml:space="preserve">chapter examines </w:t>
      </w:r>
      <w:r w:rsidR="00086880">
        <w:t>2</w:t>
      </w:r>
      <w:r w:rsidR="00D57F82">
        <w:t xml:space="preserve"> themes</w:t>
      </w:r>
      <w:r w:rsidR="00E64DF3">
        <w:t xml:space="preserve"> within the department:</w:t>
      </w:r>
    </w:p>
    <w:p w14:paraId="58429FD8" w14:textId="03938BE4" w:rsidR="00E64DF3" w:rsidRDefault="00E64DF3" w:rsidP="006F0E74">
      <w:pPr>
        <w:pStyle w:val="ListNumber"/>
        <w:numPr>
          <w:ilvl w:val="0"/>
          <w:numId w:val="57"/>
        </w:numPr>
      </w:pPr>
      <w:r>
        <w:t>O</w:t>
      </w:r>
      <w:r w:rsidR="00716E0D">
        <w:t xml:space="preserve">rganising </w:t>
      </w:r>
      <w:r w:rsidR="00B04378">
        <w:t>for a strong regulatory practice</w:t>
      </w:r>
      <w:r>
        <w:t>,</w:t>
      </w:r>
      <w:r w:rsidR="00B04378">
        <w:t xml:space="preserve"> where c</w:t>
      </w:r>
      <w:r w:rsidR="00D57F82">
        <w:t>omp</w:t>
      </w:r>
      <w:r w:rsidR="00B9194F">
        <w:t xml:space="preserve">liance </w:t>
      </w:r>
      <w:r w:rsidR="001E1D89">
        <w:t>and enforcement</w:t>
      </w:r>
      <w:r w:rsidR="00B04378">
        <w:t xml:space="preserve"> is examined</w:t>
      </w:r>
      <w:r>
        <w:t>.</w:t>
      </w:r>
    </w:p>
    <w:p w14:paraId="50DAB117" w14:textId="4E6A5656" w:rsidR="00E64DF3" w:rsidRDefault="00E64DF3" w:rsidP="00820695">
      <w:pPr>
        <w:pStyle w:val="ListNumber"/>
        <w:numPr>
          <w:ilvl w:val="0"/>
          <w:numId w:val="57"/>
        </w:numPr>
      </w:pPr>
      <w:r>
        <w:t>E</w:t>
      </w:r>
      <w:r w:rsidR="00716E0D">
        <w:t xml:space="preserve">nsuring </w:t>
      </w:r>
      <w:r w:rsidR="00B04378">
        <w:t>animal welfare is integral to its regulatory approach, where regulatory c</w:t>
      </w:r>
      <w:r w:rsidR="001E1D89">
        <w:t>ulture</w:t>
      </w:r>
      <w:r w:rsidR="00B04378">
        <w:t xml:space="preserve"> is examined.</w:t>
      </w:r>
    </w:p>
    <w:p w14:paraId="05A4963F" w14:textId="7F3F7E4E" w:rsidR="00D57F82" w:rsidRPr="008F1B0F" w:rsidRDefault="00E45DA5" w:rsidP="001326DA">
      <w:r>
        <w:t xml:space="preserve">Observations </w:t>
      </w:r>
      <w:r w:rsidR="00B9194F">
        <w:t>and recommendations</w:t>
      </w:r>
      <w:r w:rsidR="001433F4">
        <w:t xml:space="preserve"> are made</w:t>
      </w:r>
      <w:r w:rsidR="00B9194F">
        <w:t xml:space="preserve"> to improve the effectiveness and efficiency of the department’s regulatory practice</w:t>
      </w:r>
      <w:r>
        <w:t xml:space="preserve"> for each of these themes</w:t>
      </w:r>
      <w:r w:rsidR="00B9194F">
        <w:t>.</w:t>
      </w:r>
      <w:r w:rsidR="00D57F82">
        <w:t xml:space="preserve"> This chapter </w:t>
      </w:r>
      <w:r w:rsidR="00B9194F">
        <w:t xml:space="preserve">also </w:t>
      </w:r>
      <w:r w:rsidR="00D57F82">
        <w:t xml:space="preserve">builds on the discussion of regulatory practice and recommendations in the </w:t>
      </w:r>
      <w:r w:rsidR="00884156">
        <w:t>i</w:t>
      </w:r>
      <w:r w:rsidR="006C46EE">
        <w:t>nspector</w:t>
      </w:r>
      <w:r w:rsidR="00A704A1">
        <w:t>-</w:t>
      </w:r>
      <w:r w:rsidR="00884156">
        <w:t>g</w:t>
      </w:r>
      <w:r w:rsidR="00A704A1">
        <w:t>eneral’s</w:t>
      </w:r>
      <w:r>
        <w:t xml:space="preserve"> </w:t>
      </w:r>
      <w:r w:rsidR="00D57F82">
        <w:t xml:space="preserve">first review, </w:t>
      </w:r>
      <w:hyperlink r:id="rId30" w:history="1">
        <w:r w:rsidR="00127722">
          <w:rPr>
            <w:rStyle w:val="Hyperlink"/>
          </w:rPr>
          <w:t>Monitoring and reporting during livestock export voyages</w:t>
        </w:r>
      </w:hyperlink>
      <w:r w:rsidR="00D57F82">
        <w:t>.</w:t>
      </w:r>
    </w:p>
    <w:p w14:paraId="230A00E8" w14:textId="0ADA7844" w:rsidR="00F94FC8" w:rsidRDefault="00B04378" w:rsidP="00F94FC8">
      <w:pPr>
        <w:pStyle w:val="Heading3"/>
      </w:pPr>
      <w:bookmarkStart w:id="37" w:name="_Organising_for_a"/>
      <w:bookmarkStart w:id="38" w:name="_Toc58774288"/>
      <w:bookmarkEnd w:id="37"/>
      <w:r>
        <w:t xml:space="preserve">Organising for a strong regulatory practice </w:t>
      </w:r>
      <w:r w:rsidR="00086880">
        <w:t>–</w:t>
      </w:r>
      <w:r>
        <w:t xml:space="preserve"> </w:t>
      </w:r>
      <w:r w:rsidR="00DB0C5B">
        <w:t>c</w:t>
      </w:r>
      <w:r>
        <w:t xml:space="preserve">ompliance </w:t>
      </w:r>
      <w:r w:rsidR="000D6CBF">
        <w:t>and </w:t>
      </w:r>
      <w:r w:rsidR="00DB0C5B">
        <w:t>e</w:t>
      </w:r>
      <w:r>
        <w:t>nforcement</w:t>
      </w:r>
      <w:bookmarkEnd w:id="38"/>
    </w:p>
    <w:p w14:paraId="3A716C3A" w14:textId="63C7D06B" w:rsidR="004B3B13" w:rsidRDefault="004B3B13" w:rsidP="007E3234">
      <w:r>
        <w:t xml:space="preserve">Effective compliance and enforcement </w:t>
      </w:r>
      <w:r w:rsidR="00DB0C5B">
        <w:t>are</w:t>
      </w:r>
      <w:r>
        <w:t xml:space="preserve"> key attribute</w:t>
      </w:r>
      <w:r w:rsidR="00DB0C5B">
        <w:t>s</w:t>
      </w:r>
      <w:r>
        <w:t xml:space="preserve"> of strong regulatory practice</w:t>
      </w:r>
      <w:r w:rsidR="00A704A1">
        <w:t xml:space="preserve">. </w:t>
      </w:r>
      <w:r w:rsidR="00C40FF2">
        <w:t>Several</w:t>
      </w:r>
      <w:r>
        <w:t xml:space="preserve"> </w:t>
      </w:r>
      <w:r w:rsidR="00445C60">
        <w:t>Moss Review recommendations</w:t>
      </w:r>
      <w:r>
        <w:t xml:space="preserve"> were intended to contribute to the department improving its practices in this regard. These recommendations addressed the</w:t>
      </w:r>
      <w:r w:rsidR="00D25843">
        <w:t xml:space="preserve"> need to</w:t>
      </w:r>
      <w:r>
        <w:t>:</w:t>
      </w:r>
    </w:p>
    <w:p w14:paraId="7D29F7C0" w14:textId="3FF1BBE6" w:rsidR="004B3B13" w:rsidRDefault="00524CB0" w:rsidP="00524CB0">
      <w:pPr>
        <w:pStyle w:val="ListBullet"/>
      </w:pPr>
      <w:r>
        <w:t xml:space="preserve">improve </w:t>
      </w:r>
      <w:r w:rsidR="00D25843">
        <w:t>the e</w:t>
      </w:r>
      <w:r w:rsidR="004B3B13">
        <w:t xml:space="preserve">nforceability of requirements, particularly </w:t>
      </w:r>
      <w:r w:rsidR="00C40FF2">
        <w:t>those</w:t>
      </w:r>
      <w:r w:rsidR="004B3B13">
        <w:t xml:space="preserve"> related to animal welfare</w:t>
      </w:r>
      <w:r w:rsidR="00D25843">
        <w:t xml:space="preserve"> (</w:t>
      </w:r>
      <w:r w:rsidR="00445C60">
        <w:t>Moss Review recommendations</w:t>
      </w:r>
      <w:r>
        <w:t xml:space="preserve"> </w:t>
      </w:r>
      <w:r w:rsidR="00D25843">
        <w:t>3 and 4)</w:t>
      </w:r>
    </w:p>
    <w:p w14:paraId="5C1AB14D" w14:textId="3098BD75" w:rsidR="004B3B13" w:rsidRDefault="00524CB0" w:rsidP="00524CB0">
      <w:pPr>
        <w:pStyle w:val="ListBullet"/>
      </w:pPr>
      <w:r>
        <w:t xml:space="preserve">ensure </w:t>
      </w:r>
      <w:r w:rsidR="00D25843">
        <w:t>appropriate expertise, skills and supporting systems for effective investigations and enforcement actions are coordinated and developed (</w:t>
      </w:r>
      <w:r w:rsidR="00445C60">
        <w:t>Moss Review recommendations</w:t>
      </w:r>
      <w:r>
        <w:t xml:space="preserve"> </w:t>
      </w:r>
      <w:r w:rsidR="00D25843">
        <w:t>9, 10, 17, 20, 22 and 23</w:t>
      </w:r>
      <w:r w:rsidR="00B04378">
        <w:t>)</w:t>
      </w:r>
    </w:p>
    <w:p w14:paraId="631DB896" w14:textId="328EEFF8" w:rsidR="00D25843" w:rsidRDefault="00524CB0" w:rsidP="00524CB0">
      <w:pPr>
        <w:pStyle w:val="ListBullet"/>
      </w:pPr>
      <w:r>
        <w:t xml:space="preserve">improve </w:t>
      </w:r>
      <w:r w:rsidR="00603CFA">
        <w:t>compliance monitoring to detect and correct non-compliance (</w:t>
      </w:r>
      <w:r w:rsidR="00445C60">
        <w:t>Moss Review recommendations</w:t>
      </w:r>
      <w:r>
        <w:t xml:space="preserve"> </w:t>
      </w:r>
      <w:r w:rsidR="00603CFA">
        <w:t>5, 7, 9, 10, 13, 20 and 21)</w:t>
      </w:r>
      <w:r w:rsidR="001551AA">
        <w:t>.</w:t>
      </w:r>
    </w:p>
    <w:p w14:paraId="3B175F1C" w14:textId="37C242F1" w:rsidR="009732EC" w:rsidRDefault="00857BA4" w:rsidP="007E3234">
      <w:r>
        <w:t xml:space="preserve">The </w:t>
      </w:r>
      <w:r w:rsidR="006932ED">
        <w:t>Moss Review</w:t>
      </w:r>
      <w:r w:rsidR="009B0A52">
        <w:t xml:space="preserve"> </w:t>
      </w:r>
      <w:r>
        <w:t>sought to increase the enforceability of animal welfare standards through recommendation</w:t>
      </w:r>
      <w:r w:rsidR="004B3B13">
        <w:t xml:space="preserve"> 3 </w:t>
      </w:r>
      <w:r w:rsidR="001551AA">
        <w:t xml:space="preserve">for </w:t>
      </w:r>
      <w:r w:rsidR="004B3B13">
        <w:t xml:space="preserve">animal welfare indicators to </w:t>
      </w:r>
      <w:r w:rsidR="004B3B13" w:rsidRPr="001551AA">
        <w:t>‘</w:t>
      </w:r>
      <w:r w:rsidR="001B723D">
        <w:t xml:space="preserve">… </w:t>
      </w:r>
      <w:r w:rsidR="004B3B13" w:rsidRPr="001551AA">
        <w:t>become part of the regulatory framework’</w:t>
      </w:r>
      <w:r w:rsidR="004B3B13">
        <w:t xml:space="preserve"> and</w:t>
      </w:r>
      <w:r>
        <w:t xml:space="preserve"> </w:t>
      </w:r>
      <w:r w:rsidR="001551AA">
        <w:t xml:space="preserve">recommendation </w:t>
      </w:r>
      <w:r>
        <w:t>4</w:t>
      </w:r>
      <w:r w:rsidR="009732EC">
        <w:t>:</w:t>
      </w:r>
    </w:p>
    <w:p w14:paraId="6E2BA6E4" w14:textId="42BD3F41" w:rsidR="004B3B13" w:rsidRDefault="009D22A7" w:rsidP="009732EC">
      <w:pPr>
        <w:pStyle w:val="Quote"/>
      </w:pPr>
      <w:r>
        <w:rPr>
          <w:rStyle w:val="QuoteChar"/>
        </w:rPr>
        <w:t>…</w:t>
      </w:r>
      <w:r w:rsidR="006C46EE">
        <w:rPr>
          <w:rStyle w:val="QuoteChar"/>
        </w:rPr>
        <w:t xml:space="preserve"> </w:t>
      </w:r>
      <w:r w:rsidR="004B2393" w:rsidRPr="009732EC">
        <w:rPr>
          <w:rStyle w:val="QuoteChar"/>
        </w:rPr>
        <w:t xml:space="preserve">that </w:t>
      </w:r>
      <w:r w:rsidR="00857BA4" w:rsidRPr="009732EC">
        <w:rPr>
          <w:rStyle w:val="QuoteChar"/>
        </w:rPr>
        <w:t>the department take steps to have the Australian Standards for the Export of Livestock prescribed as regulated standards, with appropriate penalties, for the purpose of strengthening the regulatory framework and encouraging compliance</w:t>
      </w:r>
      <w:r w:rsidR="00252D47">
        <w:rPr>
          <w:rStyle w:val="QuoteChar"/>
        </w:rPr>
        <w:t xml:space="preserve"> (</w:t>
      </w:r>
      <w:r w:rsidR="00252D47" w:rsidRPr="001D71C2">
        <w:rPr>
          <w:rStyle w:val="QuoteChar"/>
        </w:rPr>
        <w:t>Moss 2018)</w:t>
      </w:r>
      <w:r w:rsidR="00857BA4" w:rsidRPr="001D71C2">
        <w:rPr>
          <w:rStyle w:val="QuoteChar"/>
        </w:rPr>
        <w:t>.</w:t>
      </w:r>
    </w:p>
    <w:p w14:paraId="597B22CE" w14:textId="29322965" w:rsidR="0082682D" w:rsidRDefault="000B6114" w:rsidP="007E3234">
      <w:r>
        <w:t xml:space="preserve">Strong regulatory practice is </w:t>
      </w:r>
      <w:r w:rsidR="00CF146D">
        <w:t xml:space="preserve">underpinned by </w:t>
      </w:r>
      <w:r>
        <w:t>legislation and instruments</w:t>
      </w:r>
      <w:r w:rsidR="00B054F5">
        <w:t>,</w:t>
      </w:r>
      <w:r>
        <w:t xml:space="preserve"> such as licences and </w:t>
      </w:r>
      <w:r w:rsidR="006F0E74">
        <w:t>permits, which</w:t>
      </w:r>
      <w:r w:rsidR="0043315A">
        <w:t xml:space="preserve"> are clear</w:t>
      </w:r>
      <w:r>
        <w:t xml:space="preserve"> on the obligations</w:t>
      </w:r>
      <w:r w:rsidR="006F0E74">
        <w:t xml:space="preserve"> </w:t>
      </w:r>
      <w:r>
        <w:t xml:space="preserve">and </w:t>
      </w:r>
      <w:r w:rsidR="001B723D">
        <w:t xml:space="preserve">on </w:t>
      </w:r>
      <w:r>
        <w:t>who is required to meet them</w:t>
      </w:r>
      <w:r w:rsidR="00603CFA">
        <w:t>.</w:t>
      </w:r>
      <w:r w:rsidR="00C95DB6">
        <w:t xml:space="preserve"> A regulator’s core work includes</w:t>
      </w:r>
      <w:r w:rsidR="00D672E4">
        <w:t xml:space="preserve"> compliance</w:t>
      </w:r>
      <w:r w:rsidR="00C95DB6">
        <w:t xml:space="preserve"> </w:t>
      </w:r>
      <w:r w:rsidR="00E7574D">
        <w:t>monitoring,</w:t>
      </w:r>
      <w:r w:rsidR="00C95DB6">
        <w:t xml:space="preserve"> seeking to detect non-compliance, and</w:t>
      </w:r>
      <w:r w:rsidR="002046EA">
        <w:t>,</w:t>
      </w:r>
      <w:r w:rsidR="00C95DB6">
        <w:t xml:space="preserve"> where it is detected</w:t>
      </w:r>
      <w:r w:rsidR="002046EA">
        <w:t>,</w:t>
      </w:r>
      <w:r w:rsidR="00C95DB6">
        <w:t xml:space="preserve"> u</w:t>
      </w:r>
      <w:r w:rsidR="001B723D">
        <w:t>sing</w:t>
      </w:r>
      <w:r w:rsidR="00C95DB6">
        <w:t xml:space="preserve"> a proportionate response model to correct the non-compliance and prevent future </w:t>
      </w:r>
      <w:r w:rsidR="00D672E4">
        <w:t>occurr</w:t>
      </w:r>
      <w:r w:rsidR="0085006C">
        <w:t>e</w:t>
      </w:r>
      <w:r w:rsidR="00D672E4">
        <w:t>nce</w:t>
      </w:r>
      <w:r w:rsidR="00C95DB6">
        <w:t>.</w:t>
      </w:r>
    </w:p>
    <w:p w14:paraId="642D8CB8" w14:textId="083EE596" w:rsidR="00C56F5D" w:rsidRDefault="004B3B13" w:rsidP="007E3234">
      <w:r>
        <w:t>However, d</w:t>
      </w:r>
      <w:r w:rsidR="00C45E85">
        <w:t>espite the well</w:t>
      </w:r>
      <w:r w:rsidR="004157EE">
        <w:t>-</w:t>
      </w:r>
      <w:r w:rsidR="00C45E85">
        <w:t>documented history of incidents in the live export trade</w:t>
      </w:r>
      <w:r w:rsidR="001B723D">
        <w:t xml:space="preserve">, the </w:t>
      </w:r>
      <w:r w:rsidR="00884156">
        <w:t>i</w:t>
      </w:r>
      <w:r w:rsidR="001B723D">
        <w:t>nspector-</w:t>
      </w:r>
      <w:r w:rsidR="00884156">
        <w:t>g</w:t>
      </w:r>
      <w:r w:rsidR="001B723D">
        <w:t xml:space="preserve">eneral </w:t>
      </w:r>
      <w:r w:rsidR="00CB3E1C">
        <w:t xml:space="preserve">is concerned that a proportional response regulatory model is not being used to hold </w:t>
      </w:r>
      <w:r w:rsidR="00C95DB6">
        <w:t>industry participants to account</w:t>
      </w:r>
      <w:r w:rsidR="00CB3E1C">
        <w:t xml:space="preserve"> and ensure improved performance</w:t>
      </w:r>
      <w:r w:rsidR="00CF146D">
        <w:t>. For example</w:t>
      </w:r>
      <w:r w:rsidR="00841A21">
        <w:t xml:space="preserve">, since 2011 there have </w:t>
      </w:r>
      <w:r w:rsidR="005B3F9B">
        <w:t>only</w:t>
      </w:r>
      <w:r w:rsidR="00841A21">
        <w:t xml:space="preserve"> been</w:t>
      </w:r>
      <w:r w:rsidR="00A3069B">
        <w:t xml:space="preserve"> </w:t>
      </w:r>
      <w:r w:rsidR="00841A21">
        <w:t>2 successful</w:t>
      </w:r>
      <w:r w:rsidR="005B3F9B">
        <w:t xml:space="preserve"> </w:t>
      </w:r>
      <w:r w:rsidR="00C45E85">
        <w:t>prosecutions</w:t>
      </w:r>
      <w:r w:rsidR="00CF146D">
        <w:t xml:space="preserve"> under the criminal code or provisions of </w:t>
      </w:r>
      <w:r w:rsidR="00CF146D">
        <w:lastRenderedPageBreak/>
        <w:t xml:space="preserve">the </w:t>
      </w:r>
      <w:r w:rsidR="00CF146D" w:rsidRPr="00E7574D">
        <w:rPr>
          <w:i/>
        </w:rPr>
        <w:t>A</w:t>
      </w:r>
      <w:r w:rsidR="00FF04AE" w:rsidRPr="00E7574D">
        <w:rPr>
          <w:i/>
        </w:rPr>
        <w:t>ustralian Meat and Live-stock Industry Act 1997</w:t>
      </w:r>
      <w:r w:rsidR="00FF04AE">
        <w:t xml:space="preserve"> </w:t>
      </w:r>
      <w:r w:rsidR="001B723D">
        <w:t xml:space="preserve">and </w:t>
      </w:r>
      <w:r w:rsidR="00FF04AE">
        <w:t xml:space="preserve">the </w:t>
      </w:r>
      <w:r w:rsidR="00D80FB5" w:rsidRPr="00E7574D">
        <w:rPr>
          <w:i/>
        </w:rPr>
        <w:t>Ex</w:t>
      </w:r>
      <w:r w:rsidR="00D80FB5">
        <w:rPr>
          <w:i/>
        </w:rPr>
        <w:t>port Control Act 1982</w:t>
      </w:r>
      <w:r w:rsidR="00C45E85">
        <w:t xml:space="preserve">. </w:t>
      </w:r>
      <w:r w:rsidR="00CF146D">
        <w:t xml:space="preserve">Sanctions such as </w:t>
      </w:r>
      <w:r w:rsidR="00C45E85">
        <w:t>licence suspension or cancellation have also rarely been used</w:t>
      </w:r>
      <w:r w:rsidR="001E1D89">
        <w:t>.</w:t>
      </w:r>
      <w:r w:rsidR="00CF146D">
        <w:t xml:space="preserve"> </w:t>
      </w:r>
      <w:r w:rsidR="004E5FD1" w:rsidRPr="004E5FD1">
        <w:t>Since 2016</w:t>
      </w:r>
      <w:r w:rsidR="002F7D65">
        <w:t>,</w:t>
      </w:r>
      <w:r w:rsidR="004E5FD1" w:rsidRPr="002F7D65">
        <w:t xml:space="preserve"> 3 suspended licences </w:t>
      </w:r>
      <w:r w:rsidR="002F7D65">
        <w:t>were</w:t>
      </w:r>
      <w:r w:rsidR="004E5FD1" w:rsidRPr="004E5FD1">
        <w:t xml:space="preserve"> cancell</w:t>
      </w:r>
      <w:r w:rsidR="002F7D65">
        <w:t>ed</w:t>
      </w:r>
      <w:r w:rsidR="0048130D">
        <w:t>,</w:t>
      </w:r>
      <w:r w:rsidR="004E5FD1">
        <w:t xml:space="preserve"> and one other </w:t>
      </w:r>
      <w:r w:rsidR="002F7D65">
        <w:t xml:space="preserve">was </w:t>
      </w:r>
      <w:r w:rsidR="004E5FD1">
        <w:t>cancelled</w:t>
      </w:r>
      <w:r w:rsidR="0049151C">
        <w:t xml:space="preserve"> with no </w:t>
      </w:r>
      <w:r w:rsidR="00F60E4D">
        <w:t>prior suspension</w:t>
      </w:r>
      <w:r w:rsidR="004E5FD1">
        <w:t>.</w:t>
      </w:r>
      <w:r w:rsidR="00C56F5D">
        <w:t xml:space="preserve"> However, t</w:t>
      </w:r>
      <w:r w:rsidR="00B04378">
        <w:t>he range of sanctions available to the department ha</w:t>
      </w:r>
      <w:r w:rsidR="00C95DB6">
        <w:t>s</w:t>
      </w:r>
      <w:r w:rsidR="00B04378">
        <w:t xml:space="preserve"> hampered the effective use of a proportionate regulatory response model (</w:t>
      </w:r>
      <w:r w:rsidR="000975F5">
        <w:t>see</w:t>
      </w:r>
      <w:r w:rsidR="003152BD">
        <w:t xml:space="preserve"> </w:t>
      </w:r>
      <w:hyperlink r:id="rId31" w:history="1">
        <w:r w:rsidR="00127722" w:rsidRPr="001B723D">
          <w:rPr>
            <w:rStyle w:val="Hyperlink"/>
          </w:rPr>
          <w:t>Monitoring and reporting during livestock export voyages</w:t>
        </w:r>
      </w:hyperlink>
      <w:r w:rsidR="001B723D">
        <w:t xml:space="preserve">, </w:t>
      </w:r>
      <w:r w:rsidR="001B723D" w:rsidRPr="006C2428">
        <w:t>page 9</w:t>
      </w:r>
      <w:r w:rsidR="00B04378">
        <w:t>)</w:t>
      </w:r>
      <w:r w:rsidR="00F831EF">
        <w:t>.</w:t>
      </w:r>
      <w:r w:rsidR="00CB3E1C">
        <w:t xml:space="preserve"> In the context of this limited range of sanctions the department has used a range of responses including, for example, suspending supply chains (or parts of them), applying additional conditions to licences, and additional audit requirements.</w:t>
      </w:r>
    </w:p>
    <w:p w14:paraId="137EA56D" w14:textId="75C784CD" w:rsidR="0018630A" w:rsidRDefault="00A3069B" w:rsidP="0018630A">
      <w:r>
        <w:t>T</w:t>
      </w:r>
      <w:r w:rsidR="00C95DB6">
        <w:t xml:space="preserve">he </w:t>
      </w:r>
      <w:r w:rsidR="00884156">
        <w:t>i</w:t>
      </w:r>
      <w:r w:rsidR="0048130D">
        <w:t>nspector-</w:t>
      </w:r>
      <w:r w:rsidR="00884156">
        <w:t>g</w:t>
      </w:r>
      <w:r w:rsidR="0048130D">
        <w:t>eneral</w:t>
      </w:r>
      <w:r w:rsidR="00C95DB6">
        <w:t xml:space="preserve"> considers that </w:t>
      </w:r>
      <w:r w:rsidR="001B723D">
        <w:t xml:space="preserve">some </w:t>
      </w:r>
      <w:r w:rsidR="00E36DDC">
        <w:t>features of the department’s approach to non-compliance and proportionate regulatory response need to be examined to improve regulatory practice.</w:t>
      </w:r>
      <w:r w:rsidR="00C56F5D">
        <w:t xml:space="preserve"> </w:t>
      </w:r>
      <w:r w:rsidR="0018630A">
        <w:t xml:space="preserve">During this review and the concurrent reviews into ESCAS and </w:t>
      </w:r>
      <w:r w:rsidR="00EA74C6">
        <w:t>l</w:t>
      </w:r>
      <w:r w:rsidR="00E24E5F">
        <w:t xml:space="preserve">ivestock export permits </w:t>
      </w:r>
      <w:r w:rsidR="0018630A">
        <w:t xml:space="preserve">and </w:t>
      </w:r>
      <w:r w:rsidR="00E24E5F">
        <w:t>health certificates</w:t>
      </w:r>
      <w:r w:rsidR="0018630A">
        <w:t xml:space="preserve">, the </w:t>
      </w:r>
      <w:r w:rsidR="00884156">
        <w:t>i</w:t>
      </w:r>
      <w:r w:rsidR="0048130D">
        <w:t>nspector-</w:t>
      </w:r>
      <w:r w:rsidR="00884156">
        <w:t>g</w:t>
      </w:r>
      <w:r w:rsidR="0048130D">
        <w:t>eneral</w:t>
      </w:r>
      <w:r w:rsidR="0018630A">
        <w:t xml:space="preserve"> noted </w:t>
      </w:r>
      <w:r w:rsidR="00B054F5">
        <w:t xml:space="preserve">that </w:t>
      </w:r>
      <w:r w:rsidR="0018630A">
        <w:t xml:space="preserve">the department appears to determine the severity of an individual non-compliance in isolation from other factors. For example, a technical or administrative </w:t>
      </w:r>
      <w:r w:rsidR="00350DD6">
        <w:t xml:space="preserve">non-compliance </w:t>
      </w:r>
      <w:r w:rsidR="0018630A">
        <w:t>may be automatically categori</w:t>
      </w:r>
      <w:r w:rsidR="00FF3015">
        <w:t>s</w:t>
      </w:r>
      <w:r w:rsidR="0018630A">
        <w:t>ed as of low impact or severity</w:t>
      </w:r>
      <w:r w:rsidR="003A5778">
        <w:t>,</w:t>
      </w:r>
      <w:r w:rsidR="0018630A">
        <w:t xml:space="preserve"> and accordingly attract a regulatory response at the lower end of the department’s proportionate response model. This is a reductive approach that risks not correcting underlying and ongoing unacceptable performance</w:t>
      </w:r>
      <w:r w:rsidR="00350DD6">
        <w:t>. It</w:t>
      </w:r>
      <w:r w:rsidR="0018630A">
        <w:t xml:space="preserve"> may </w:t>
      </w:r>
      <w:r w:rsidR="00350DD6">
        <w:t xml:space="preserve">also </w:t>
      </w:r>
      <w:r w:rsidR="0018630A">
        <w:t>be unfair to those who invest in systems and processes to ensure high compliance performance</w:t>
      </w:r>
      <w:r w:rsidR="00CA4CD7">
        <w:t xml:space="preserve">. </w:t>
      </w:r>
      <w:r w:rsidR="000A6003">
        <w:t xml:space="preserve">This can have the effect of </w:t>
      </w:r>
      <w:r w:rsidR="00803490">
        <w:t xml:space="preserve">not </w:t>
      </w:r>
      <w:r w:rsidR="000A6003">
        <w:t>creating a</w:t>
      </w:r>
      <w:r w:rsidR="00803490">
        <w:t xml:space="preserve"> </w:t>
      </w:r>
      <w:r w:rsidR="000A6003">
        <w:t>level playing field that gives a commercial advantage to poor performers</w:t>
      </w:r>
      <w:r w:rsidR="0018630A">
        <w:t>.</w:t>
      </w:r>
    </w:p>
    <w:p w14:paraId="7C9D0D1A" w14:textId="13FA57ED" w:rsidR="0018630A" w:rsidRDefault="0018630A" w:rsidP="0018630A">
      <w:r>
        <w:t>The Prosecution Policy of the Commonwealth</w:t>
      </w:r>
      <w:r w:rsidR="00C56F5D">
        <w:t>, while intended to guide decisions to prosecute, also</w:t>
      </w:r>
      <w:r w:rsidR="006500D5">
        <w:t xml:space="preserve"> </w:t>
      </w:r>
      <w:r>
        <w:t xml:space="preserve">provides </w:t>
      </w:r>
      <w:r w:rsidR="003A5778">
        <w:t xml:space="preserve">useful </w:t>
      </w:r>
      <w:r>
        <w:t xml:space="preserve">guidance </w:t>
      </w:r>
      <w:r w:rsidR="003D20E9">
        <w:t>for</w:t>
      </w:r>
      <w:r>
        <w:t xml:space="preserve"> determining other regulatory responses:</w:t>
      </w:r>
    </w:p>
    <w:p w14:paraId="4970ECD5" w14:textId="74CD2395" w:rsidR="000975F5" w:rsidRDefault="0018630A" w:rsidP="00230C7F">
      <w:pPr>
        <w:pStyle w:val="Quote"/>
      </w:pPr>
      <w:r w:rsidRPr="00A044A1">
        <w:t>The criteria for the exercise of this discretion cannot be reduced to something akin to a mathematical formula; indeed it would be undesirable to attempt to do so. The breadth of the factors to be considered in exercising this discretion indicates a candid recognition of the need to tailor general principles to individual cases</w:t>
      </w:r>
      <w:r w:rsidR="00230C7F">
        <w:t xml:space="preserve"> (</w:t>
      </w:r>
      <w:r w:rsidR="00230C7F" w:rsidRPr="001D71C2">
        <w:t>CDPP</w:t>
      </w:r>
      <w:r w:rsidR="00C44BE2" w:rsidRPr="001D71C2">
        <w:t xml:space="preserve"> 2019)</w:t>
      </w:r>
      <w:r w:rsidRPr="00A044A1">
        <w:t>.</w:t>
      </w:r>
    </w:p>
    <w:p w14:paraId="264681D9" w14:textId="1A88AE8E" w:rsidR="0018630A" w:rsidRDefault="0018630A" w:rsidP="007E3234">
      <w:r>
        <w:t xml:space="preserve">A better practice approach would separate the consideration of culpability from liability. Determining whether a non-compliance has occurred is a matter of fact and evidence. </w:t>
      </w:r>
      <w:r w:rsidR="001E2BF1">
        <w:t>Under a proportionate model, d</w:t>
      </w:r>
      <w:r>
        <w:t>etermining an appropriate regulatory response is discretionary and should be based on a broad assessment of culpability</w:t>
      </w:r>
      <w:r w:rsidR="000975F5">
        <w:t xml:space="preserve"> – </w:t>
      </w:r>
      <w:r>
        <w:t xml:space="preserve">how significant the non-compliance </w:t>
      </w:r>
      <w:r w:rsidR="001E2BF1">
        <w:t xml:space="preserve">is </w:t>
      </w:r>
      <w:r>
        <w:t xml:space="preserve">in the context in which it has occurred. </w:t>
      </w:r>
      <w:r w:rsidR="001453E6">
        <w:t>T</w:t>
      </w:r>
      <w:r>
        <w:t xml:space="preserve">he department should consider modifying how it uses its proportionate response model </w:t>
      </w:r>
      <w:r w:rsidR="001E2BF1">
        <w:t>when</w:t>
      </w:r>
      <w:r>
        <w:t xml:space="preserve"> responding to non-compliance. The </w:t>
      </w:r>
      <w:r w:rsidR="00A24C77">
        <w:t>i</w:t>
      </w:r>
      <w:r w:rsidR="005A126B">
        <w:t>nspector-</w:t>
      </w:r>
      <w:r w:rsidR="00A24C77">
        <w:t>g</w:t>
      </w:r>
      <w:r w:rsidR="005A126B">
        <w:t>eneral</w:t>
      </w:r>
      <w:r>
        <w:t xml:space="preserve"> intends to examine this issue in more detail in the </w:t>
      </w:r>
      <w:r w:rsidR="003A5778">
        <w:t>forthcoming</w:t>
      </w:r>
      <w:r w:rsidR="001E2BF1">
        <w:t xml:space="preserve"> reviews of</w:t>
      </w:r>
      <w:r w:rsidR="003A5778">
        <w:t xml:space="preserve"> </w:t>
      </w:r>
      <w:r>
        <w:t xml:space="preserve">ESCAS and </w:t>
      </w:r>
      <w:r w:rsidR="006F0E74">
        <w:t xml:space="preserve">livestock </w:t>
      </w:r>
      <w:r w:rsidR="00061183">
        <w:t>export permits and health certificates</w:t>
      </w:r>
      <w:r>
        <w:t>.</w:t>
      </w:r>
    </w:p>
    <w:p w14:paraId="7A56E7DC" w14:textId="048CAEE6" w:rsidR="00217BAA" w:rsidRDefault="00CC05BC">
      <w:pPr>
        <w:pStyle w:val="Caption"/>
      </w:pPr>
      <w:bookmarkStart w:id="39" w:name="_Ref54108936"/>
      <w:bookmarkStart w:id="40" w:name="_Ref53558896"/>
      <w:bookmarkStart w:id="41" w:name="_Toc58774293"/>
      <w:r>
        <w:t xml:space="preserve">Case study </w:t>
      </w:r>
      <w:r w:rsidR="0061602E">
        <w:rPr>
          <w:noProof/>
        </w:rPr>
        <w:fldChar w:fldCharType="begin"/>
      </w:r>
      <w:r w:rsidR="0061602E">
        <w:rPr>
          <w:noProof/>
        </w:rPr>
        <w:instrText xml:space="preserve"> SEQ Case_study \* ARABIC </w:instrText>
      </w:r>
      <w:r w:rsidR="0061602E">
        <w:rPr>
          <w:noProof/>
        </w:rPr>
        <w:fldChar w:fldCharType="separate"/>
      </w:r>
      <w:r w:rsidR="00FE420F">
        <w:rPr>
          <w:noProof/>
        </w:rPr>
        <w:t>1</w:t>
      </w:r>
      <w:r w:rsidR="0061602E">
        <w:rPr>
          <w:noProof/>
        </w:rPr>
        <w:fldChar w:fldCharType="end"/>
      </w:r>
      <w:bookmarkEnd w:id="39"/>
      <w:r>
        <w:t xml:space="preserve"> </w:t>
      </w:r>
      <w:bookmarkEnd w:id="40"/>
      <w:r w:rsidR="00571512">
        <w:t xml:space="preserve">MW </w:t>
      </w:r>
      <w:r w:rsidR="00217BAA">
        <w:t>Awassi Express 2017</w:t>
      </w:r>
      <w:bookmarkEnd w:id="41"/>
    </w:p>
    <w:p w14:paraId="79D74D9E" w14:textId="6F8C80B4" w:rsidR="00217BAA" w:rsidRPr="00217BAA" w:rsidRDefault="00217BAA" w:rsidP="00856D23">
      <w:pPr>
        <w:pStyle w:val="BoxText"/>
      </w:pPr>
      <w:r w:rsidRPr="00217BAA">
        <w:t xml:space="preserve">On 1 August 2017, the livestock carrier </w:t>
      </w:r>
      <w:r w:rsidR="002F7D65">
        <w:t xml:space="preserve">MV </w:t>
      </w:r>
      <w:r w:rsidRPr="00856D23">
        <w:rPr>
          <w:rStyle w:val="Emphasis"/>
        </w:rPr>
        <w:t>Awassi Express</w:t>
      </w:r>
      <w:r w:rsidRPr="00217BAA">
        <w:t xml:space="preserve"> left Fremantle, Western Australia, carrying 63,</w:t>
      </w:r>
      <w:r w:rsidR="001E2BF1" w:rsidRPr="00217BAA">
        <w:t>804</w:t>
      </w:r>
      <w:r w:rsidR="001E2BF1">
        <w:t> </w:t>
      </w:r>
      <w:r w:rsidRPr="00217BAA">
        <w:t xml:space="preserve">sheep. The consignment </w:t>
      </w:r>
      <w:r w:rsidR="00543801">
        <w:t>sailed</w:t>
      </w:r>
      <w:r w:rsidRPr="00217BAA">
        <w:t xml:space="preserve"> to Kuwait, Qatar and the United Arab Emirates. Over 2,400 sheep died from heat stress during the 23</w:t>
      </w:r>
      <w:r w:rsidR="001E2BF1">
        <w:t>-</w:t>
      </w:r>
      <w:r w:rsidRPr="00217BAA">
        <w:t>day voyage. The voyage had a mortality rate of 3.76%, well above the reportable 2% rate</w:t>
      </w:r>
      <w:r w:rsidR="00371110">
        <w:t>.</w:t>
      </w:r>
      <w:r w:rsidR="00FB3032">
        <w:t xml:space="preserve"> </w:t>
      </w:r>
      <w:r w:rsidR="00371110">
        <w:t>T</w:t>
      </w:r>
      <w:r w:rsidR="00FB3032">
        <w:t>he reportable rate has since been reduced to 1%</w:t>
      </w:r>
      <w:r w:rsidRPr="00217BAA">
        <w:t>.</w:t>
      </w:r>
    </w:p>
    <w:p w14:paraId="23A829C2" w14:textId="0DDF8A45" w:rsidR="00B054F5" w:rsidRDefault="00217BAA">
      <w:pPr>
        <w:pStyle w:val="BoxText"/>
      </w:pPr>
      <w:r w:rsidRPr="00217BAA">
        <w:t>On 5 April 2018, Animals Australia made a formal complaint to the Department of Agriculture and Water Resources. Footage of th</w:t>
      </w:r>
      <w:r w:rsidR="006D6609">
        <w:t>is</w:t>
      </w:r>
      <w:r w:rsidRPr="00217BAA">
        <w:t xml:space="preserve"> journey </w:t>
      </w:r>
      <w:r w:rsidR="006D6609">
        <w:t xml:space="preserve">(and </w:t>
      </w:r>
      <w:r w:rsidR="00127722">
        <w:t>4 </w:t>
      </w:r>
      <w:r w:rsidR="006D6609">
        <w:t xml:space="preserve">other voyages on the </w:t>
      </w:r>
      <w:r w:rsidR="006D6609" w:rsidRPr="00D320A1">
        <w:rPr>
          <w:rStyle w:val="Emphasis"/>
        </w:rPr>
        <w:t>Awassi Expres</w:t>
      </w:r>
      <w:r w:rsidR="006D6609">
        <w:t xml:space="preserve">s) </w:t>
      </w:r>
      <w:r w:rsidRPr="00217BAA">
        <w:t xml:space="preserve">taken by a crew member </w:t>
      </w:r>
      <w:r w:rsidR="00E27A17">
        <w:t>was</w:t>
      </w:r>
      <w:r w:rsidR="00E27A17" w:rsidRPr="00217BAA">
        <w:t xml:space="preserve"> </w:t>
      </w:r>
      <w:r w:rsidRPr="00217BAA">
        <w:t xml:space="preserve">shown on national television by </w:t>
      </w:r>
      <w:r w:rsidRPr="00217BAA">
        <w:rPr>
          <w:i/>
        </w:rPr>
        <w:t xml:space="preserve">60 Minutes </w:t>
      </w:r>
      <w:r w:rsidRPr="00217BAA">
        <w:t>in April 2018.</w:t>
      </w:r>
    </w:p>
    <w:p w14:paraId="6C381F88" w14:textId="3CB24937" w:rsidR="00B054F5" w:rsidRDefault="00B054F5" w:rsidP="00B054F5">
      <w:pPr>
        <w:pStyle w:val="BoxText"/>
      </w:pPr>
      <w:r>
        <w:lastRenderedPageBreak/>
        <w:t xml:space="preserve">That same month, the department commenced an investigation into whether criminal offences had been committed on board the </w:t>
      </w:r>
      <w:r w:rsidRPr="00D320A1">
        <w:rPr>
          <w:rStyle w:val="Emphasis"/>
        </w:rPr>
        <w:t>Awassi Express</w:t>
      </w:r>
      <w:r>
        <w:t xml:space="preserve"> during 2017. </w:t>
      </w:r>
      <w:r w:rsidRPr="00217BAA">
        <w:t xml:space="preserve">After a detailed investigation, the department submitted a brief of evidence to the </w:t>
      </w:r>
      <w:r w:rsidRPr="00D4261B">
        <w:t>Office of the Commonwealth Director of Public Prosecutions</w:t>
      </w:r>
      <w:r w:rsidRPr="00217BAA">
        <w:t xml:space="preserve"> (CDPP) </w:t>
      </w:r>
      <w:r>
        <w:t>to</w:t>
      </w:r>
      <w:r w:rsidRPr="00217BAA">
        <w:t xml:space="preserve"> consider whether the evidence obtained was sufficient to </w:t>
      </w:r>
      <w:r>
        <w:t>support</w:t>
      </w:r>
      <w:r w:rsidRPr="00217BAA">
        <w:t xml:space="preserve"> prosecution. </w:t>
      </w:r>
      <w:r>
        <w:t>T</w:t>
      </w:r>
      <w:r w:rsidRPr="00217BAA">
        <w:t>he CDPP concluded that it could not be satisfied that there were reasonable prospects of conviction of those alleged to have been involved.</w:t>
      </w:r>
    </w:p>
    <w:p w14:paraId="3DC398C3" w14:textId="76F41BE8" w:rsidR="000975F5" w:rsidRDefault="00217BAA" w:rsidP="00856D23">
      <w:pPr>
        <w:pStyle w:val="BoxText"/>
      </w:pPr>
      <w:r w:rsidRPr="00217BAA">
        <w:t>On 21 August 2018</w:t>
      </w:r>
      <w:r w:rsidR="00E269A3">
        <w:t>,</w:t>
      </w:r>
      <w:r w:rsidRPr="00217BAA">
        <w:t xml:space="preserve"> the department cancelled Emanuel</w:t>
      </w:r>
      <w:r w:rsidR="00314246">
        <w:t xml:space="preserve"> Export</w:t>
      </w:r>
      <w:r w:rsidRPr="00217BAA">
        <w:t xml:space="preserve">’s export licence under the </w:t>
      </w:r>
      <w:r w:rsidRPr="00217BAA">
        <w:rPr>
          <w:i/>
        </w:rPr>
        <w:t>Australian Meat and Live</w:t>
      </w:r>
      <w:r w:rsidR="00D4261B">
        <w:rPr>
          <w:i/>
        </w:rPr>
        <w:t>-</w:t>
      </w:r>
      <w:r w:rsidRPr="00217BAA">
        <w:rPr>
          <w:i/>
        </w:rPr>
        <w:t xml:space="preserve">stock Industry Act 1997. </w:t>
      </w:r>
      <w:r w:rsidRPr="00217BAA">
        <w:t xml:space="preserve">On 5 September 2018, the department also cancelled </w:t>
      </w:r>
      <w:r w:rsidR="00D4261B">
        <w:t xml:space="preserve">the licence of </w:t>
      </w:r>
      <w:r w:rsidRPr="00217BAA">
        <w:t>EMS Rural Export</w:t>
      </w:r>
      <w:r w:rsidR="00D4261B">
        <w:t>s,</w:t>
      </w:r>
      <w:r w:rsidRPr="00217BAA">
        <w:t xml:space="preserve"> a subsidiary company of Emanuel</w:t>
      </w:r>
      <w:r w:rsidR="00D4261B">
        <w:t xml:space="preserve"> Exports</w:t>
      </w:r>
      <w:r w:rsidRPr="00217BAA">
        <w:t>.</w:t>
      </w:r>
      <w:r w:rsidR="00817C75">
        <w:t xml:space="preserve"> </w:t>
      </w:r>
      <w:r w:rsidR="00B054F5">
        <w:t>At the time, t</w:t>
      </w:r>
      <w:r w:rsidR="00D4261B">
        <w:t>he parent company</w:t>
      </w:r>
      <w:r w:rsidRPr="00217BAA">
        <w:t xml:space="preserve"> was the largest exporter of Australian sheep to the Middle East.</w:t>
      </w:r>
    </w:p>
    <w:p w14:paraId="0B179508" w14:textId="03759701" w:rsidR="00217BAA" w:rsidRPr="00217BAA" w:rsidRDefault="00217BAA" w:rsidP="00856D23">
      <w:pPr>
        <w:pStyle w:val="BoxText"/>
      </w:pPr>
      <w:r w:rsidRPr="00217BAA">
        <w:t>The decision and action to cancel the licences was taken by the department independently of the criminal investigation (</w:t>
      </w:r>
      <w:r w:rsidRPr="001D71C2">
        <w:t xml:space="preserve">Department of Agriculture, Water and the Environment </w:t>
      </w:r>
      <w:r w:rsidRPr="00127722">
        <w:t>2020</w:t>
      </w:r>
      <w:r w:rsidR="002012DC" w:rsidRPr="00AC79C6">
        <w:t>b</w:t>
      </w:r>
      <w:r w:rsidRPr="00127722">
        <w:t>).</w:t>
      </w:r>
    </w:p>
    <w:p w14:paraId="06F11ADC" w14:textId="7906FA83" w:rsidR="000975F5" w:rsidRDefault="00D67C3F">
      <w:r>
        <w:t xml:space="preserve">The </w:t>
      </w:r>
      <w:r w:rsidRPr="00D320A1">
        <w:rPr>
          <w:rStyle w:val="Emphasis"/>
        </w:rPr>
        <w:t xml:space="preserve">Awassi </w:t>
      </w:r>
      <w:r w:rsidR="00BA45C8" w:rsidRPr="00D320A1">
        <w:rPr>
          <w:rStyle w:val="Emphasis"/>
        </w:rPr>
        <w:t>Express</w:t>
      </w:r>
      <w:r w:rsidR="00BA45C8">
        <w:t xml:space="preserve"> </w:t>
      </w:r>
      <w:r>
        <w:t>incident was viewed by the</w:t>
      </w:r>
      <w:r w:rsidR="008976AA">
        <w:t xml:space="preserve"> then Minister for Agriculture </w:t>
      </w:r>
      <w:r>
        <w:t>and the public as an egregious failure to ensure appropriate animal health and welfare outcomes during an export voyage.</w:t>
      </w:r>
      <w:r w:rsidR="00EF77C5">
        <w:t xml:space="preserve"> A significant public and political debate ensued</w:t>
      </w:r>
      <w:r w:rsidR="00E0539C">
        <w:t>. T</w:t>
      </w:r>
      <w:r w:rsidR="00EF77C5">
        <w:t xml:space="preserve">he government </w:t>
      </w:r>
      <w:r w:rsidR="00E0539C">
        <w:t xml:space="preserve">responded by </w:t>
      </w:r>
      <w:r w:rsidR="00EF77C5">
        <w:t xml:space="preserve">taking a range of actions, including commissioning the </w:t>
      </w:r>
      <w:r w:rsidR="006932ED">
        <w:t>Moss Review</w:t>
      </w:r>
      <w:r w:rsidR="00EF77C5">
        <w:t>, to improve the performance of the industry and the department as the regulator</w:t>
      </w:r>
      <w:r w:rsidR="00304AD6">
        <w:t>. At th</w:t>
      </w:r>
      <w:r w:rsidR="00B054F5">
        <w:t>e</w:t>
      </w:r>
      <w:r w:rsidR="00304AD6">
        <w:t xml:space="preserve"> time</w:t>
      </w:r>
      <w:r w:rsidR="00E0539C">
        <w:t>,</w:t>
      </w:r>
      <w:r w:rsidR="00304AD6">
        <w:t xml:space="preserve"> the Minister for Agriculture stated </w:t>
      </w:r>
      <w:r w:rsidR="00E0539C">
        <w:t xml:space="preserve">in a media release </w:t>
      </w:r>
      <w:r w:rsidR="00304AD6">
        <w:t>that</w:t>
      </w:r>
      <w:r w:rsidR="00A977E6">
        <w:t>:</w:t>
      </w:r>
    </w:p>
    <w:p w14:paraId="374F29A7" w14:textId="43EB10BA" w:rsidR="00304AD6" w:rsidRPr="00371110" w:rsidRDefault="00304AD6" w:rsidP="00F60825">
      <w:pPr>
        <w:pStyle w:val="Quote"/>
      </w:pPr>
      <w:r w:rsidRPr="00371110">
        <w:t xml:space="preserve">We </w:t>
      </w:r>
      <w:r w:rsidR="00FB3032" w:rsidRPr="00371110">
        <w:t xml:space="preserve">need to make sure the regulator has the right tools, training and culture to make sure exporters do the right thing. This requires prosecutions and heavy penalties where breaches occur </w:t>
      </w:r>
      <w:r w:rsidR="007E7572" w:rsidRPr="00371110">
        <w:t>(</w:t>
      </w:r>
      <w:r w:rsidR="007E7572" w:rsidRPr="00602AA6">
        <w:t>Ministerial media release April 2018)</w:t>
      </w:r>
      <w:r w:rsidR="00371110" w:rsidRPr="00602AA6">
        <w:t>.</w:t>
      </w:r>
    </w:p>
    <w:p w14:paraId="5E606608" w14:textId="78951673" w:rsidR="0058273C" w:rsidRDefault="00D67C3F" w:rsidP="007E3234">
      <w:r>
        <w:t>The department clearly considered that the severity of the incident</w:t>
      </w:r>
      <w:r w:rsidR="00304AD6">
        <w:t>,</w:t>
      </w:r>
      <w:r>
        <w:t xml:space="preserve"> and the actions of the </w:t>
      </w:r>
      <w:r w:rsidR="00D90C35">
        <w:t>e</w:t>
      </w:r>
      <w:r>
        <w:t>xporter</w:t>
      </w:r>
      <w:r w:rsidR="00304AD6">
        <w:t>,</w:t>
      </w:r>
      <w:r>
        <w:t xml:space="preserve"> supported a decision to cancel the </w:t>
      </w:r>
      <w:r w:rsidR="00D90C35">
        <w:t>e</w:t>
      </w:r>
      <w:r>
        <w:t>xport lice</w:t>
      </w:r>
      <w:r w:rsidR="00931FB0">
        <w:t xml:space="preserve">nce (this decision is currently subject to an appeal before the </w:t>
      </w:r>
      <w:r w:rsidR="00E0539C">
        <w:t>Administrative Appeals Tribunal</w:t>
      </w:r>
      <w:r w:rsidR="00304AD6">
        <w:t>). However, d</w:t>
      </w:r>
      <w:r w:rsidR="00CB1A6F">
        <w:t>espite</w:t>
      </w:r>
      <w:r w:rsidR="00304AD6">
        <w:t xml:space="preserve"> </w:t>
      </w:r>
      <w:r w:rsidR="00CB1A6F">
        <w:t>a lengthy investigation, no prosecution action was seen to be viable.</w:t>
      </w:r>
    </w:p>
    <w:p w14:paraId="66D66F0E" w14:textId="5D5DF82F" w:rsidR="00D67C3F" w:rsidRDefault="00303F05" w:rsidP="007E3234">
      <w:r>
        <w:t>T</w:t>
      </w:r>
      <w:r w:rsidR="00CB1A6F">
        <w:t>h</w:t>
      </w:r>
      <w:r w:rsidR="00304AD6">
        <w:t xml:space="preserve">e </w:t>
      </w:r>
      <w:r w:rsidR="00304AD6" w:rsidRPr="00D320A1">
        <w:rPr>
          <w:rStyle w:val="Emphasis"/>
        </w:rPr>
        <w:t xml:space="preserve">Awassi </w:t>
      </w:r>
      <w:r w:rsidR="00BA45C8" w:rsidRPr="00D320A1">
        <w:rPr>
          <w:rStyle w:val="Emphasis"/>
        </w:rPr>
        <w:t>Express</w:t>
      </w:r>
      <w:r w:rsidR="00BA45C8">
        <w:t xml:space="preserve"> </w:t>
      </w:r>
      <w:r w:rsidR="00304AD6">
        <w:t>case study</w:t>
      </w:r>
      <w:r w:rsidR="00CB1A6F">
        <w:t xml:space="preserve"> raises questions</w:t>
      </w:r>
      <w:r w:rsidR="001F12E7">
        <w:t xml:space="preserve"> that </w:t>
      </w:r>
      <w:r w:rsidR="003A5778">
        <w:t>may</w:t>
      </w:r>
      <w:r w:rsidR="001F12E7">
        <w:t xml:space="preserve"> </w:t>
      </w:r>
      <w:r w:rsidR="00E0539C">
        <w:t>help</w:t>
      </w:r>
      <w:r w:rsidR="001F12E7">
        <w:t xml:space="preserve"> </w:t>
      </w:r>
      <w:r w:rsidR="00087CFF">
        <w:t>the department</w:t>
      </w:r>
      <w:r w:rsidR="00856CD6">
        <w:t xml:space="preserve"> improve its</w:t>
      </w:r>
      <w:r>
        <w:t xml:space="preserve"> </w:t>
      </w:r>
      <w:r w:rsidR="00087CFF">
        <w:t xml:space="preserve">regulatory practice </w:t>
      </w:r>
      <w:r w:rsidR="00856CD6">
        <w:t xml:space="preserve">and meet the holistic intent of the </w:t>
      </w:r>
      <w:r w:rsidR="00445C60">
        <w:t>Moss Review recommendations</w:t>
      </w:r>
      <w:r w:rsidR="00CB1A6F">
        <w:t>:</w:t>
      </w:r>
    </w:p>
    <w:p w14:paraId="3A7B0C52" w14:textId="53F101FB" w:rsidR="00856D23" w:rsidRDefault="00CB1A6F" w:rsidP="00CB59AF">
      <w:pPr>
        <w:pStyle w:val="ListBullet"/>
      </w:pPr>
      <w:r w:rsidRPr="00CB59AF">
        <w:t>Did the department have sufficient expertise to undertake an investigation</w:t>
      </w:r>
      <w:r w:rsidR="00087CFF" w:rsidRPr="00CB59AF">
        <w:t xml:space="preserve"> of this nature</w:t>
      </w:r>
      <w:r w:rsidR="00B054F5">
        <w:t xml:space="preserve"> and if necessary</w:t>
      </w:r>
      <w:r w:rsidR="00EE0C1F">
        <w:t>,</w:t>
      </w:r>
      <w:r w:rsidR="00B054F5">
        <w:t xml:space="preserve"> produce the standard </w:t>
      </w:r>
      <w:r w:rsidR="00EE0C1F">
        <w:t xml:space="preserve">of </w:t>
      </w:r>
      <w:r w:rsidR="00B054F5">
        <w:t>proof required in criminal cases</w:t>
      </w:r>
      <w:r w:rsidRPr="00CB59AF">
        <w:t>?</w:t>
      </w:r>
    </w:p>
    <w:p w14:paraId="51867456" w14:textId="22745785" w:rsidR="00CB1A6F" w:rsidRPr="00CB59AF" w:rsidRDefault="00087CFF" w:rsidP="00CB59AF">
      <w:pPr>
        <w:pStyle w:val="ListBullet"/>
      </w:pPr>
      <w:r w:rsidRPr="00CB59AF">
        <w:t>Were there deficiencies in the legal framework (the legislation itself, the conditions of licences and permits, standards such as ASEL, and the manner in which the elements of this framework interact) that were unclear or ambiguous in terms of obligations and requirements, accountabilities and responsibilities?</w:t>
      </w:r>
    </w:p>
    <w:p w14:paraId="6305695D" w14:textId="31D0FF82" w:rsidR="00087CFF" w:rsidRPr="00CB59AF" w:rsidRDefault="00087CFF" w:rsidP="00CB59AF">
      <w:pPr>
        <w:pStyle w:val="ListBullet"/>
      </w:pPr>
      <w:r w:rsidRPr="00CB59AF">
        <w:t>Were there deficiencies in monitoring and reporting, records and record keeping, or investigation powers that compromised the department’s capacity to compile compelling evidence?</w:t>
      </w:r>
    </w:p>
    <w:p w14:paraId="57C75420" w14:textId="11EB9EED" w:rsidR="005A126B" w:rsidRPr="00CB59AF" w:rsidRDefault="005A126B" w:rsidP="0055071B">
      <w:pPr>
        <w:pStyle w:val="ListBullet"/>
        <w:numPr>
          <w:ilvl w:val="0"/>
          <w:numId w:val="0"/>
        </w:numPr>
      </w:pPr>
      <w:r>
        <w:t>In relation to the first dot point t</w:t>
      </w:r>
      <w:r w:rsidRPr="00CB59AF">
        <w:t xml:space="preserve">he </w:t>
      </w:r>
      <w:r w:rsidR="00A24C77">
        <w:t>i</w:t>
      </w:r>
      <w:r>
        <w:t>nspector-</w:t>
      </w:r>
      <w:r w:rsidR="00A24C77">
        <w:t>g</w:t>
      </w:r>
      <w:r>
        <w:t>eneral</w:t>
      </w:r>
      <w:r w:rsidRPr="00CB59AF">
        <w:t xml:space="preserve"> </w:t>
      </w:r>
      <w:r>
        <w:t>considers</w:t>
      </w:r>
      <w:r w:rsidRPr="00CB59AF">
        <w:t xml:space="preserve"> that the department does have a high level of expertise</w:t>
      </w:r>
      <w:r>
        <w:t xml:space="preserve"> in conducting investigations. This conclusion is </w:t>
      </w:r>
      <w:r w:rsidRPr="00CB59AF">
        <w:t>based on evidence provided to this review, including interviews with departmental officers.</w:t>
      </w:r>
    </w:p>
    <w:p w14:paraId="4E923889" w14:textId="43EA18CB" w:rsidR="005C529D" w:rsidRDefault="003367E8" w:rsidP="007E3234">
      <w:r>
        <w:t xml:space="preserve">In continuing to progress </w:t>
      </w:r>
      <w:r w:rsidR="006932ED">
        <w:t>Moss Review</w:t>
      </w:r>
      <w:r>
        <w:t xml:space="preserve"> </w:t>
      </w:r>
      <w:r w:rsidR="00FB330F">
        <w:t>r</w:t>
      </w:r>
      <w:r>
        <w:t>ecommendations 3 and 4, and as part of implementation planning for commencement of t</w:t>
      </w:r>
      <w:r w:rsidR="00F831EF">
        <w:t xml:space="preserve">he </w:t>
      </w:r>
      <w:r w:rsidR="00F831EF" w:rsidRPr="00A30E48">
        <w:rPr>
          <w:i/>
        </w:rPr>
        <w:t>Export Control Act 20</w:t>
      </w:r>
      <w:r w:rsidR="00697910">
        <w:rPr>
          <w:i/>
        </w:rPr>
        <w:t>20</w:t>
      </w:r>
      <w:r w:rsidR="00F831EF">
        <w:t xml:space="preserve"> (scheduled for </w:t>
      </w:r>
      <w:r w:rsidR="00F831EF">
        <w:lastRenderedPageBreak/>
        <w:t>implementation in April 2021)</w:t>
      </w:r>
      <w:r>
        <w:t xml:space="preserve">, the department should closely analyse the circumstances and outcomes from the </w:t>
      </w:r>
      <w:r w:rsidRPr="00D320A1">
        <w:rPr>
          <w:rStyle w:val="Emphasis"/>
        </w:rPr>
        <w:t xml:space="preserve">Awassi </w:t>
      </w:r>
      <w:r w:rsidR="00D320A1" w:rsidRPr="00D320A1">
        <w:rPr>
          <w:rStyle w:val="Emphasis"/>
        </w:rPr>
        <w:t>Express</w:t>
      </w:r>
      <w:r w:rsidR="00D320A1">
        <w:t xml:space="preserve"> </w:t>
      </w:r>
      <w:r>
        <w:t>201</w:t>
      </w:r>
      <w:r w:rsidR="00304AD6">
        <w:t>7</w:t>
      </w:r>
      <w:r>
        <w:t xml:space="preserve"> incident and investigation.</w:t>
      </w:r>
    </w:p>
    <w:p w14:paraId="71E0B25A" w14:textId="2FBD7A37" w:rsidR="003367E8" w:rsidRDefault="00232956" w:rsidP="007E3234">
      <w:r>
        <w:t xml:space="preserve">Any </w:t>
      </w:r>
      <w:r w:rsidR="00304AD6">
        <w:t>necessary</w:t>
      </w:r>
      <w:r w:rsidR="003367E8">
        <w:t xml:space="preserve"> increase in clarity of obligations, requirements and responsibilities provides improved guidance to industry on compliance expectations aimed ultimately at preventing </w:t>
      </w:r>
      <w:r w:rsidR="0051739A">
        <w:t>future</w:t>
      </w:r>
      <w:r w:rsidR="003367E8">
        <w:t xml:space="preserve"> incident</w:t>
      </w:r>
      <w:r w:rsidR="0051739A">
        <w:t>s</w:t>
      </w:r>
      <w:r w:rsidR="003367E8">
        <w:t xml:space="preserve"> occurring.</w:t>
      </w:r>
      <w:r w:rsidR="00304AD6">
        <w:t xml:space="preserve"> It would also ensure that if </w:t>
      </w:r>
      <w:r w:rsidR="00D90C35">
        <w:t>a similar</w:t>
      </w:r>
      <w:r w:rsidR="00304AD6">
        <w:t xml:space="preserve"> </w:t>
      </w:r>
      <w:r w:rsidR="00F60825">
        <w:t xml:space="preserve">incident </w:t>
      </w:r>
      <w:r w:rsidR="006C46EE">
        <w:t>occurred</w:t>
      </w:r>
      <w:r w:rsidR="00304AD6">
        <w:t>, a timely outcome that demonstrates appropriate accountability could be delivered.</w:t>
      </w:r>
    </w:p>
    <w:p w14:paraId="4E44D2B0" w14:textId="0D9529A3" w:rsidR="003367E8" w:rsidRDefault="005C529D" w:rsidP="007E3234">
      <w:r>
        <w:t>A</w:t>
      </w:r>
      <w:r w:rsidR="00C04C6B">
        <w:t xml:space="preserve">n analysis of this nature </w:t>
      </w:r>
      <w:r w:rsidR="00304AD6">
        <w:t>should</w:t>
      </w:r>
      <w:r w:rsidR="00C04C6B">
        <w:t xml:space="preserve"> lead to fundamental improvements in the regulatory framework that applies to live</w:t>
      </w:r>
      <w:r w:rsidR="005D6612">
        <w:t>stock</w:t>
      </w:r>
      <w:r w:rsidR="00C04C6B">
        <w:t xml:space="preserve"> exports</w:t>
      </w:r>
      <w:r>
        <w:t>. However</w:t>
      </w:r>
      <w:r w:rsidR="005D6612">
        <w:t>,</w:t>
      </w:r>
      <w:r w:rsidR="00C04C6B">
        <w:t xml:space="preserve"> the </w:t>
      </w:r>
      <w:r w:rsidR="00A24C77">
        <w:t>i</w:t>
      </w:r>
      <w:r w:rsidR="005A126B">
        <w:t>nspector-</w:t>
      </w:r>
      <w:r w:rsidR="00A24C77">
        <w:t>g</w:t>
      </w:r>
      <w:r w:rsidR="005A126B">
        <w:t>eneral</w:t>
      </w:r>
      <w:r w:rsidR="00C04C6B">
        <w:t xml:space="preserve"> </w:t>
      </w:r>
      <w:r>
        <w:t>has identified</w:t>
      </w:r>
      <w:r w:rsidR="003A5778">
        <w:t xml:space="preserve"> </w:t>
      </w:r>
      <w:r w:rsidR="00C04C6B">
        <w:t xml:space="preserve">other relevant barriers to improving regulatory practice </w:t>
      </w:r>
      <w:r>
        <w:t xml:space="preserve">that </w:t>
      </w:r>
      <w:r w:rsidR="00C04C6B">
        <w:t xml:space="preserve">the </w:t>
      </w:r>
      <w:r w:rsidR="006932ED">
        <w:t>Moss Review</w:t>
      </w:r>
      <w:r w:rsidR="00C04C6B">
        <w:t xml:space="preserve"> sought to address. </w:t>
      </w:r>
      <w:r w:rsidR="00583F0B">
        <w:t>T</w:t>
      </w:r>
      <w:r w:rsidR="00C04C6B">
        <w:t xml:space="preserve">his is implicit in </w:t>
      </w:r>
      <w:r w:rsidR="006932ED">
        <w:t>Moss Review</w:t>
      </w:r>
      <w:r w:rsidR="00C04C6B">
        <w:t xml:space="preserve"> </w:t>
      </w:r>
      <w:r w:rsidR="00F60825">
        <w:t xml:space="preserve">recommendation </w:t>
      </w:r>
      <w:r w:rsidR="00C04C6B">
        <w:t>5, 9, 10, 13 and 20.</w:t>
      </w:r>
    </w:p>
    <w:p w14:paraId="6AA01D52" w14:textId="6BB2F3C7" w:rsidR="000975F5" w:rsidRDefault="00F94DF1" w:rsidP="007E3234">
      <w:r>
        <w:t xml:space="preserve">The </w:t>
      </w:r>
      <w:r w:rsidR="006932ED">
        <w:t>Moss Review</w:t>
      </w:r>
      <w:r>
        <w:t xml:space="preserve"> noted (</w:t>
      </w:r>
      <w:r w:rsidR="00EE0C1F">
        <w:t xml:space="preserve">Moss Review 2018, </w:t>
      </w:r>
      <w:r>
        <w:t>para</w:t>
      </w:r>
      <w:r w:rsidR="00F4419B">
        <w:t>graph</w:t>
      </w:r>
      <w:r>
        <w:t xml:space="preserve"> 258 and 259) that:</w:t>
      </w:r>
    </w:p>
    <w:p w14:paraId="1B91C3DC" w14:textId="6FA9F0C3" w:rsidR="000975F5" w:rsidRDefault="00F94DF1" w:rsidP="005D6612">
      <w:pPr>
        <w:pStyle w:val="Quote"/>
      </w:pPr>
      <w:r w:rsidRPr="005D6612">
        <w:rPr>
          <w:rStyle w:val="QuoteChar"/>
        </w:rPr>
        <w:t>It is evident that the department’s regulatory capability is dispersed</w:t>
      </w:r>
      <w:r w:rsidR="005C529D">
        <w:rPr>
          <w:rStyle w:val="QuoteChar"/>
        </w:rPr>
        <w:t xml:space="preserve"> …</w:t>
      </w:r>
    </w:p>
    <w:p w14:paraId="42138612" w14:textId="4ECA8E92" w:rsidR="000975F5" w:rsidRDefault="00F94DF1" w:rsidP="007E3234">
      <w:r>
        <w:t xml:space="preserve">and </w:t>
      </w:r>
    </w:p>
    <w:p w14:paraId="2337C5C1" w14:textId="38A2609A" w:rsidR="005D6612" w:rsidRDefault="00F4419B" w:rsidP="005D6612">
      <w:pPr>
        <w:pStyle w:val="Quote"/>
      </w:pPr>
      <w:r>
        <w:t>…</w:t>
      </w:r>
      <w:r w:rsidR="0045278E">
        <w:t xml:space="preserve"> </w:t>
      </w:r>
      <w:r>
        <w:t xml:space="preserve">under </w:t>
      </w:r>
      <w:r w:rsidR="00F94DF1">
        <w:t>this structure, accountability is diffused and relevant divisions and branches have challenges in working effectively together to ensure that regulatory responsibilities are met.</w:t>
      </w:r>
    </w:p>
    <w:p w14:paraId="46459484" w14:textId="52831067" w:rsidR="00713D11" w:rsidRDefault="00C72621" w:rsidP="007E3234">
      <w:r>
        <w:t xml:space="preserve">It is </w:t>
      </w:r>
      <w:r w:rsidR="00F94DF1">
        <w:t xml:space="preserve">likely that recent </w:t>
      </w:r>
      <w:r w:rsidR="007D69E8">
        <w:t xml:space="preserve">departmental </w:t>
      </w:r>
      <w:r w:rsidR="00894976">
        <w:t>m</w:t>
      </w:r>
      <w:r w:rsidR="00F94DF1">
        <w:t xml:space="preserve">achinery of </w:t>
      </w:r>
      <w:r w:rsidR="00894976">
        <w:t>g</w:t>
      </w:r>
      <w:r w:rsidR="00F94DF1">
        <w:t xml:space="preserve">overnment changes </w:t>
      </w:r>
      <w:r>
        <w:t>have exacerbated this diffusion</w:t>
      </w:r>
      <w:r w:rsidR="00894976">
        <w:t>. L</w:t>
      </w:r>
      <w:r w:rsidR="002458C6">
        <w:t xml:space="preserve">ive animal export regulatory </w:t>
      </w:r>
      <w:r w:rsidR="00284DA6">
        <w:t xml:space="preserve">responsibilities and skills </w:t>
      </w:r>
      <w:r w:rsidR="00894976">
        <w:t xml:space="preserve">are now </w:t>
      </w:r>
      <w:r w:rsidR="00284DA6">
        <w:t xml:space="preserve">dispersed across </w:t>
      </w:r>
      <w:r w:rsidR="00894976">
        <w:t>3 g</w:t>
      </w:r>
      <w:r w:rsidR="0062054D">
        <w:t xml:space="preserve">roups, 4 </w:t>
      </w:r>
      <w:r w:rsidR="00894976">
        <w:t>d</w:t>
      </w:r>
      <w:r w:rsidR="0062054D">
        <w:t xml:space="preserve">ivisions and </w:t>
      </w:r>
      <w:r w:rsidR="00FF2CB7">
        <w:t>6</w:t>
      </w:r>
      <w:r w:rsidR="005B7D36">
        <w:t xml:space="preserve"> </w:t>
      </w:r>
      <w:r w:rsidR="00894976">
        <w:t>b</w:t>
      </w:r>
      <w:r w:rsidR="002458C6">
        <w:t>ranche</w:t>
      </w:r>
      <w:r w:rsidR="00284DA6">
        <w:t>s</w:t>
      </w:r>
      <w:r w:rsidR="00894976">
        <w:t>.</w:t>
      </w:r>
      <w:r w:rsidR="00320AEF">
        <w:t xml:space="preserve"> </w:t>
      </w:r>
      <w:r w:rsidR="00894976">
        <w:t>T</w:t>
      </w:r>
      <w:r w:rsidR="00F94DF1">
        <w:t>h</w:t>
      </w:r>
      <w:r w:rsidR="00894976">
        <w:t>is presents</w:t>
      </w:r>
      <w:r w:rsidR="00F94DF1">
        <w:t xml:space="preserve"> challenge</w:t>
      </w:r>
      <w:r w:rsidR="00894976">
        <w:t>s</w:t>
      </w:r>
      <w:r w:rsidR="00F94DF1">
        <w:t xml:space="preserve"> to achieving improved re</w:t>
      </w:r>
      <w:r w:rsidR="00284DA6">
        <w:t>gulatory practice.</w:t>
      </w:r>
    </w:p>
    <w:p w14:paraId="04456664" w14:textId="58F75DCB" w:rsidR="00F13D21" w:rsidRDefault="00F13D21" w:rsidP="007E3234">
      <w:r>
        <w:t xml:space="preserve">The department indicated in </w:t>
      </w:r>
      <w:r w:rsidR="00251E70">
        <w:t>its</w:t>
      </w:r>
      <w:r w:rsidR="00894976">
        <w:t xml:space="preserve"> </w:t>
      </w:r>
      <w:hyperlink r:id="rId32" w:history="1">
        <w:r w:rsidR="00894976">
          <w:rPr>
            <w:rStyle w:val="Hyperlink"/>
          </w:rPr>
          <w:t>Implementation progress report</w:t>
        </w:r>
      </w:hyperlink>
      <w:r>
        <w:t xml:space="preserve"> </w:t>
      </w:r>
      <w:r w:rsidR="008449A1">
        <w:t xml:space="preserve">(Department of Agriculture 2019) </w:t>
      </w:r>
      <w:r>
        <w:t xml:space="preserve">that </w:t>
      </w:r>
      <w:r w:rsidR="006932ED">
        <w:t>Moss Review</w:t>
      </w:r>
      <w:r w:rsidR="00F94DF1">
        <w:t xml:space="preserve"> </w:t>
      </w:r>
      <w:r w:rsidR="00322FBE">
        <w:t xml:space="preserve">recommendation </w:t>
      </w:r>
      <w:r w:rsidR="00F94DF1">
        <w:t>13</w:t>
      </w:r>
      <w:r>
        <w:t xml:space="preserve"> had been completed. However, the </w:t>
      </w:r>
      <w:r w:rsidR="00A24C77">
        <w:t>i</w:t>
      </w:r>
      <w:r w:rsidR="003A1C44">
        <w:t>nspector-</w:t>
      </w:r>
      <w:r w:rsidR="00A24C77">
        <w:t>g</w:t>
      </w:r>
      <w:r w:rsidR="003A1C44">
        <w:t>eneral</w:t>
      </w:r>
      <w:r>
        <w:t xml:space="preserve"> considers that the underlying intent to ‘</w:t>
      </w:r>
      <w:r w:rsidR="00320AEF">
        <w:t>…</w:t>
      </w:r>
      <w:r w:rsidR="001F5F62">
        <w:t xml:space="preserve"> </w:t>
      </w:r>
      <w:r>
        <w:t xml:space="preserve">develop a common sense of purpose, identity and alignment in relation to the regulation of live animal exports’ </w:t>
      </w:r>
      <w:r w:rsidR="00251E70">
        <w:t xml:space="preserve">is an ongoing process that </w:t>
      </w:r>
      <w:r>
        <w:t>requires further attention.</w:t>
      </w:r>
    </w:p>
    <w:p w14:paraId="020B2E65" w14:textId="2C1D834F" w:rsidR="000975F5" w:rsidRDefault="006932ED" w:rsidP="007E3234">
      <w:r>
        <w:t>Moss Review</w:t>
      </w:r>
      <w:r w:rsidR="00F13D21">
        <w:t xml:space="preserve"> </w:t>
      </w:r>
      <w:r w:rsidR="00EF442C">
        <w:t xml:space="preserve">recommendation </w:t>
      </w:r>
      <w:r w:rsidR="00F13D21">
        <w:t xml:space="preserve">20, to establish the position of Principal Regulatory Officer, is complementary to </w:t>
      </w:r>
      <w:r w:rsidR="00EF442C">
        <w:t xml:space="preserve">recommendation </w:t>
      </w:r>
      <w:r w:rsidR="00F13D21">
        <w:t xml:space="preserve">13 and is also considered to be completed by the department. However, the </w:t>
      </w:r>
      <w:r w:rsidR="00A24C77">
        <w:t>i</w:t>
      </w:r>
      <w:r w:rsidR="00713D11">
        <w:t>nspector-</w:t>
      </w:r>
      <w:r w:rsidR="00A24C77">
        <w:t>g</w:t>
      </w:r>
      <w:r w:rsidR="00713D11">
        <w:t>eneral</w:t>
      </w:r>
      <w:r w:rsidR="00126DAE">
        <w:t xml:space="preserve"> </w:t>
      </w:r>
      <w:r w:rsidR="00251E70">
        <w:t>considers that</w:t>
      </w:r>
      <w:r w:rsidR="00F13D21">
        <w:t xml:space="preserve"> </w:t>
      </w:r>
      <w:r w:rsidR="00C72621">
        <w:t>this recommendation</w:t>
      </w:r>
      <w:r w:rsidR="00251E70">
        <w:t xml:space="preserve"> should</w:t>
      </w:r>
      <w:r w:rsidR="00894976">
        <w:t xml:space="preserve"> also</w:t>
      </w:r>
      <w:r w:rsidR="00251E70">
        <w:t xml:space="preserve"> be considered as</w:t>
      </w:r>
      <w:r w:rsidR="00514FE7">
        <w:t xml:space="preserve"> ongoing</w:t>
      </w:r>
      <w:r w:rsidR="00C72621">
        <w:t xml:space="preserve">. In </w:t>
      </w:r>
      <w:r w:rsidR="00AC2D42">
        <w:t>its</w:t>
      </w:r>
      <w:r w:rsidR="00C72621">
        <w:t xml:space="preserve"> formal response to the </w:t>
      </w:r>
      <w:r>
        <w:t>Moss Review</w:t>
      </w:r>
      <w:r w:rsidR="00894976">
        <w:t>,</w:t>
      </w:r>
      <w:r w:rsidR="00EF442C">
        <w:t xml:space="preserve"> </w:t>
      </w:r>
      <w:r w:rsidR="00AC2D42">
        <w:t xml:space="preserve">the department made </w:t>
      </w:r>
      <w:r w:rsidR="00C72621">
        <w:t xml:space="preserve">a </w:t>
      </w:r>
      <w:r w:rsidR="00284DA6">
        <w:t xml:space="preserve">commitment to a </w:t>
      </w:r>
      <w:r w:rsidR="00C72621">
        <w:t>wide remit for th</w:t>
      </w:r>
      <w:r w:rsidR="00284DA6">
        <w:t>e Principal Regulatory Officer</w:t>
      </w:r>
      <w:r w:rsidR="00C72621">
        <w:t xml:space="preserve">. </w:t>
      </w:r>
      <w:r w:rsidR="00AC2D42">
        <w:t>T</w:t>
      </w:r>
      <w:r w:rsidR="00C72621">
        <w:t xml:space="preserve">he role </w:t>
      </w:r>
      <w:r w:rsidR="00C56F5D">
        <w:t xml:space="preserve">currently </w:t>
      </w:r>
      <w:r w:rsidR="00C72621">
        <w:t xml:space="preserve">appears largely confined to the responsibilities of the First Assistant Secretary of </w:t>
      </w:r>
      <w:r w:rsidR="00C72621" w:rsidRPr="006F0E74">
        <w:t xml:space="preserve">the </w:t>
      </w:r>
      <w:r w:rsidR="006F0E74" w:rsidRPr="006F0E74">
        <w:t xml:space="preserve">Plant and </w:t>
      </w:r>
      <w:r w:rsidR="00C72621" w:rsidRPr="006F0E74">
        <w:t>Live Animal Exports Division</w:t>
      </w:r>
      <w:r w:rsidR="00126DAE" w:rsidRPr="006F0E74">
        <w:t>,</w:t>
      </w:r>
      <w:r w:rsidR="00C72621">
        <w:t xml:space="preserve"> with little evidence of either the imprimatur or resourcing to </w:t>
      </w:r>
      <w:r w:rsidR="00320AEF">
        <w:t>‘</w:t>
      </w:r>
      <w:r w:rsidR="00AC2D42">
        <w:t xml:space="preserve">… </w:t>
      </w:r>
      <w:r w:rsidR="00C72621">
        <w:t>drive a departmental work program focusing on wider regulatory capability and culture in the department</w:t>
      </w:r>
      <w:r w:rsidR="000D6CBF">
        <w:t xml:space="preserve"> …</w:t>
      </w:r>
      <w:r w:rsidR="00F60825">
        <w:t>’</w:t>
      </w:r>
      <w:r w:rsidR="00126DAE">
        <w:t xml:space="preserve"> (</w:t>
      </w:r>
      <w:r w:rsidR="00126DAE" w:rsidRPr="001D71C2">
        <w:t>Department of Agriculture and Water Resources 2018</w:t>
      </w:r>
      <w:r w:rsidR="00126DAE">
        <w:t>).</w:t>
      </w:r>
    </w:p>
    <w:p w14:paraId="121E4FD8" w14:textId="37FC5A37" w:rsidR="00C72621" w:rsidRDefault="00CC580C" w:rsidP="007E3234">
      <w:r>
        <w:t>The</w:t>
      </w:r>
      <w:r w:rsidR="00C72621">
        <w:t xml:space="preserve"> department </w:t>
      </w:r>
      <w:r>
        <w:t xml:space="preserve">is large </w:t>
      </w:r>
      <w:r w:rsidR="00AC2D42">
        <w:t xml:space="preserve">and </w:t>
      </w:r>
      <w:r w:rsidR="00AC2D42" w:rsidRPr="00AC2D42">
        <w:t>has</w:t>
      </w:r>
      <w:r w:rsidR="00C72621" w:rsidRPr="00AC2D42">
        <w:t xml:space="preserve"> a wide range of regulatory responsibilities to deliver. It is</w:t>
      </w:r>
      <w:r w:rsidR="00803490">
        <w:t xml:space="preserve"> not </w:t>
      </w:r>
      <w:r w:rsidR="00C72621" w:rsidRPr="00AC2D42">
        <w:t>surprising that in this operating context the senior executive</w:t>
      </w:r>
      <w:r w:rsidR="00C72621">
        <w:t xml:space="preserve"> </w:t>
      </w:r>
      <w:r w:rsidR="005E705A">
        <w:t>have chosen</w:t>
      </w:r>
      <w:r w:rsidR="00C72621">
        <w:t xml:space="preserve"> a largely </w:t>
      </w:r>
      <w:r w:rsidR="005E705A">
        <w:t xml:space="preserve">functional structural model. This can </w:t>
      </w:r>
      <w:r w:rsidR="00AC2D42">
        <w:t>deliver</w:t>
      </w:r>
      <w:r w:rsidR="005E705A">
        <w:t xml:space="preserve"> efficiency and has the advantage of providing for centres of excellence with increased critical mass in skills and expertise. However, from a regulatory practice perspective it is a model that best works w</w:t>
      </w:r>
      <w:r w:rsidR="00406BFF">
        <w:t>h</w:t>
      </w:r>
      <w:r w:rsidR="005E705A">
        <w:t xml:space="preserve">ere the regulatory schemes it supports are at a mature standard of practice. For </w:t>
      </w:r>
      <w:r w:rsidR="00453910">
        <w:t>live</w:t>
      </w:r>
      <w:r w:rsidR="000E2F2E">
        <w:t>stock</w:t>
      </w:r>
      <w:r w:rsidR="00453910">
        <w:t xml:space="preserve"> a</w:t>
      </w:r>
      <w:r w:rsidR="005E705A">
        <w:t xml:space="preserve">nimal </w:t>
      </w:r>
      <w:r w:rsidR="00453910">
        <w:t>e</w:t>
      </w:r>
      <w:r w:rsidR="005E705A">
        <w:t xml:space="preserve">xports this is not the case. The </w:t>
      </w:r>
      <w:r w:rsidR="005E705A">
        <w:lastRenderedPageBreak/>
        <w:t>department needs to consider a range of approaches to overcome the challenges this presents</w:t>
      </w:r>
      <w:r w:rsidR="008449A1">
        <w:t>. T</w:t>
      </w:r>
      <w:r w:rsidR="005E705A">
        <w:t>hese approaches need not be structural.</w:t>
      </w:r>
    </w:p>
    <w:p w14:paraId="421BD188" w14:textId="2D9CD782" w:rsidR="000975F5" w:rsidRDefault="00433614" w:rsidP="00F90ED6">
      <w:r>
        <w:t>S</w:t>
      </w:r>
      <w:r w:rsidR="00F90ED6" w:rsidRPr="00743146">
        <w:t xml:space="preserve">pecialist investigation resources are appropriately directed at the most serious matters </w:t>
      </w:r>
      <w:r w:rsidR="009B2DCB">
        <w:t xml:space="preserve">(see the department’s response to </w:t>
      </w:r>
      <w:r w:rsidR="006259BA">
        <w:t xml:space="preserve">Moss Review </w:t>
      </w:r>
      <w:r w:rsidR="009B2DCB">
        <w:t>recommendation 10</w:t>
      </w:r>
      <w:r w:rsidR="00602AA6">
        <w:t>, chapter 1</w:t>
      </w:r>
      <w:r w:rsidR="009B2DCB">
        <w:t>)</w:t>
      </w:r>
      <w:r>
        <w:t>. However</w:t>
      </w:r>
      <w:r w:rsidR="006953D8">
        <w:t>,</w:t>
      </w:r>
      <w:r w:rsidR="009B2DCB">
        <w:t xml:space="preserve"> </w:t>
      </w:r>
      <w:r w:rsidR="00F90ED6" w:rsidRPr="00743146">
        <w:t xml:space="preserve">they are also critical to improving the capability and regulatory practice of line areas </w:t>
      </w:r>
      <w:r>
        <w:t xml:space="preserve">through </w:t>
      </w:r>
      <w:r w:rsidR="00F90ED6" w:rsidRPr="00743146">
        <w:t xml:space="preserve">capacity building </w:t>
      </w:r>
      <w:r>
        <w:t>to</w:t>
      </w:r>
      <w:r w:rsidR="00F90ED6" w:rsidRPr="00743146">
        <w:t xml:space="preserve"> ensure that compliance rigour is built into every aspect of regulatory work. This includes input into developing licence conditions,</w:t>
      </w:r>
      <w:r w:rsidR="00F90ED6">
        <w:t xml:space="preserve"> design and execution of compliance monitoring projects,</w:t>
      </w:r>
      <w:r w:rsidR="00F90ED6" w:rsidRPr="00743146">
        <w:t xml:space="preserve"> how letters are written, the nature and records of conversations and other interactions, and the identification and response to minor non-compliance.</w:t>
      </w:r>
      <w:r w:rsidR="003B68E8">
        <w:t xml:space="preserve"> Likewise, compliance monitoring projects should also have the benefit of the skills of regional operational staff, auditors, and communications experts as well as </w:t>
      </w:r>
      <w:r w:rsidR="006267EB">
        <w:t>Plant and Li</w:t>
      </w:r>
      <w:r w:rsidR="003B68E8">
        <w:t xml:space="preserve">ve </w:t>
      </w:r>
      <w:r w:rsidR="006267EB">
        <w:t>A</w:t>
      </w:r>
      <w:r w:rsidR="003B68E8">
        <w:t xml:space="preserve">nimal </w:t>
      </w:r>
      <w:r w:rsidR="006267EB">
        <w:t>E</w:t>
      </w:r>
      <w:r w:rsidR="003B68E8">
        <w:t xml:space="preserve">xports </w:t>
      </w:r>
      <w:r w:rsidR="006267EB">
        <w:t>D</w:t>
      </w:r>
      <w:r w:rsidR="003B68E8">
        <w:t>ivision staff.</w:t>
      </w:r>
    </w:p>
    <w:p w14:paraId="7B8A0E7E" w14:textId="2B45D992" w:rsidR="00544E9D" w:rsidRDefault="00A55E0D">
      <w:r>
        <w:t>T</w:t>
      </w:r>
      <w:r w:rsidR="00C86BC5" w:rsidRPr="008E3B98">
        <w:t xml:space="preserve">he </w:t>
      </w:r>
      <w:r w:rsidR="00A24C77">
        <w:t>i</w:t>
      </w:r>
      <w:r w:rsidR="0055071B">
        <w:t>nspector-</w:t>
      </w:r>
      <w:r w:rsidR="00A24C77">
        <w:t>g</w:t>
      </w:r>
      <w:r w:rsidR="0055071B">
        <w:t>eneral</w:t>
      </w:r>
      <w:r w:rsidR="0055071B" w:rsidRPr="008E3B98">
        <w:t xml:space="preserve"> </w:t>
      </w:r>
      <w:r w:rsidR="00C86BC5">
        <w:t>considers</w:t>
      </w:r>
      <w:r w:rsidR="00C86BC5" w:rsidRPr="008E3B98">
        <w:t xml:space="preserve"> that the </w:t>
      </w:r>
      <w:r w:rsidR="009B2DCB">
        <w:t xml:space="preserve">intent of </w:t>
      </w:r>
      <w:r w:rsidR="00CC05BC">
        <w:t xml:space="preserve">Moss review </w:t>
      </w:r>
      <w:r w:rsidR="00C86BC5" w:rsidRPr="008E3B98">
        <w:t>recommendation</w:t>
      </w:r>
      <w:r w:rsidR="009B2DCB">
        <w:t xml:space="preserve"> 13</w:t>
      </w:r>
      <w:r w:rsidR="00C86BC5" w:rsidRPr="008E3B98">
        <w:t xml:space="preserve"> was ultimately to ensure that the </w:t>
      </w:r>
      <w:r w:rsidR="00C6600D">
        <w:t xml:space="preserve">livestock export regulatory </w:t>
      </w:r>
      <w:r w:rsidR="00C86BC5" w:rsidRPr="008E3B98">
        <w:t>work of departmental branches was integrated</w:t>
      </w:r>
      <w:r w:rsidR="00C86BC5">
        <w:t xml:space="preserve"> operationally if not structurally.</w:t>
      </w:r>
      <w:r w:rsidR="00C86BC5" w:rsidRPr="008E3B98">
        <w:t xml:space="preserve"> </w:t>
      </w:r>
      <w:r w:rsidR="00165A55">
        <w:t>F</w:t>
      </w:r>
      <w:r w:rsidR="00C86BC5" w:rsidRPr="008E3B98">
        <w:t xml:space="preserve">unctional organisational alignments </w:t>
      </w:r>
      <w:r w:rsidR="00C86BC5">
        <w:t>pose an inherent</w:t>
      </w:r>
      <w:r w:rsidR="00C86BC5" w:rsidRPr="008E3B98">
        <w:t xml:space="preserve"> risk to improving and maturing regulatory practice for individual schemes. The </w:t>
      </w:r>
      <w:r w:rsidR="00A24C77">
        <w:t>i</w:t>
      </w:r>
      <w:r w:rsidR="00384D6C">
        <w:t>nspector-</w:t>
      </w:r>
      <w:r w:rsidR="00A24C77">
        <w:t>g</w:t>
      </w:r>
      <w:r w:rsidR="00384D6C">
        <w:t xml:space="preserve">eneral </w:t>
      </w:r>
      <w:r w:rsidR="00C86BC5" w:rsidRPr="008E3B98">
        <w:t>considers that this is a barrier to improving regulatory practice in live</w:t>
      </w:r>
      <w:r w:rsidR="00BD7FC4">
        <w:t>stock</w:t>
      </w:r>
      <w:r w:rsidR="00C86BC5" w:rsidRPr="008E3B98">
        <w:t xml:space="preserve"> animal exports that </w:t>
      </w:r>
      <w:r w:rsidR="006267EB">
        <w:t xml:space="preserve">Moss Review </w:t>
      </w:r>
      <w:r w:rsidR="00C86BC5" w:rsidRPr="008E3B98">
        <w:t>recommendations 22, 21, and 20 were also intended to address</w:t>
      </w:r>
      <w:r w:rsidR="00165A55">
        <w:t>.</w:t>
      </w:r>
    </w:p>
    <w:p w14:paraId="0E4CCA8E" w14:textId="294E4303" w:rsidR="00544E9D" w:rsidRDefault="003B68E8" w:rsidP="007E3234">
      <w:r>
        <w:t>This issue is also illustrated by t</w:t>
      </w:r>
      <w:r w:rsidR="00544E9D">
        <w:t>he department</w:t>
      </w:r>
      <w:r>
        <w:t>’s</w:t>
      </w:r>
      <w:r w:rsidR="00544E9D">
        <w:t xml:space="preserve"> response to Moss recommendation</w:t>
      </w:r>
      <w:r>
        <w:t xml:space="preserve"> 7, with </w:t>
      </w:r>
      <w:r w:rsidR="00544E9D">
        <w:t xml:space="preserve">the improvement to compliance monitoring envisaged by that recommendation not </w:t>
      </w:r>
      <w:r>
        <w:t xml:space="preserve">able to </w:t>
      </w:r>
      <w:r w:rsidR="00544E9D">
        <w:t>be implemented until at least 2021. I</w:t>
      </w:r>
      <w:r>
        <w:t xml:space="preserve">t appears that </w:t>
      </w:r>
      <w:r w:rsidR="00544E9D">
        <w:t xml:space="preserve">the department is </w:t>
      </w:r>
      <w:r>
        <w:t xml:space="preserve">not </w:t>
      </w:r>
      <w:r w:rsidR="00544E9D">
        <w:t xml:space="preserve">sufficiently agile to take the multidisciplinary approach required to deliver effectively against Moss Review recommendation 7 (and </w:t>
      </w:r>
      <w:r w:rsidR="00A24C77">
        <w:t>i</w:t>
      </w:r>
      <w:r w:rsidR="00384D6C">
        <w:t>nspector-</w:t>
      </w:r>
      <w:r w:rsidR="00A24C77">
        <w:t>g</w:t>
      </w:r>
      <w:r w:rsidR="00384D6C">
        <w:t xml:space="preserve">eneral </w:t>
      </w:r>
      <w:r w:rsidR="00544E9D">
        <w:t>recommendation 4(d) (</w:t>
      </w:r>
      <w:r w:rsidR="00384D6C">
        <w:t>Inspector-</w:t>
      </w:r>
      <w:r w:rsidR="006267EB">
        <w:t>g</w:t>
      </w:r>
      <w:r w:rsidR="00384D6C">
        <w:t xml:space="preserve">eneral </w:t>
      </w:r>
      <w:r w:rsidR="00544E9D">
        <w:t xml:space="preserve">2020)). The </w:t>
      </w:r>
      <w:r w:rsidR="00A24C77">
        <w:t>i</w:t>
      </w:r>
      <w:r w:rsidR="00544E9D">
        <w:t>nspector-</w:t>
      </w:r>
      <w:r w:rsidR="00A24C77">
        <w:t>g</w:t>
      </w:r>
      <w:r w:rsidR="00544E9D">
        <w:t>eneral considers the dispersed functional model is a major challenge to delivering against these recommendations</w:t>
      </w:r>
      <w:r w:rsidR="00555E1D">
        <w:t>.</w:t>
      </w:r>
    </w:p>
    <w:p w14:paraId="5A32723A" w14:textId="6040959D" w:rsidR="00F90ED6" w:rsidRDefault="00544E9D" w:rsidP="007E3234">
      <w:r>
        <w:t>The department should consider a range of</w:t>
      </w:r>
      <w:r w:rsidRPr="008E3B98">
        <w:t xml:space="preserve"> mechanisms to achieve the </w:t>
      </w:r>
      <w:r>
        <w:t xml:space="preserve">intended </w:t>
      </w:r>
      <w:r w:rsidRPr="008E3B98">
        <w:t>outcome</w:t>
      </w:r>
      <w:r>
        <w:t>s</w:t>
      </w:r>
      <w:r w:rsidRPr="008E3B98">
        <w:t xml:space="preserve"> </w:t>
      </w:r>
      <w:r>
        <w:t xml:space="preserve">of Moss Review </w:t>
      </w:r>
      <w:r w:rsidRPr="008E3B98">
        <w:t xml:space="preserve">recommendations </w:t>
      </w:r>
      <w:r>
        <w:t>4, 5, 7, 10 and 13</w:t>
      </w:r>
      <w:r w:rsidR="00555E1D">
        <w:t>,</w:t>
      </w:r>
      <w:r>
        <w:t xml:space="preserve"> and</w:t>
      </w:r>
      <w:r w:rsidR="00A55E0D">
        <w:t xml:space="preserve"> </w:t>
      </w:r>
      <w:r w:rsidR="001A0136">
        <w:t>mature</w:t>
      </w:r>
      <w:r w:rsidR="00C86BC5" w:rsidRPr="008E3B98">
        <w:t xml:space="preserve"> </w:t>
      </w:r>
      <w:r w:rsidR="000D3FC4">
        <w:t>its</w:t>
      </w:r>
      <w:r w:rsidR="000D3FC4" w:rsidRPr="008E3B98">
        <w:t xml:space="preserve"> </w:t>
      </w:r>
      <w:r w:rsidR="00893464">
        <w:t>live</w:t>
      </w:r>
      <w:r w:rsidR="006267EB">
        <w:t>stock</w:t>
      </w:r>
      <w:r w:rsidR="00C86BC5">
        <w:t xml:space="preserve"> </w:t>
      </w:r>
      <w:r w:rsidR="00893464">
        <w:t>e</w:t>
      </w:r>
      <w:r w:rsidR="00C86BC5">
        <w:t>xports</w:t>
      </w:r>
      <w:r w:rsidR="00C86BC5" w:rsidRPr="008E3B98">
        <w:t xml:space="preserve"> regulatory function. Secondments and placements of staff from functionally aligned areas is one approach</w:t>
      </w:r>
      <w:r w:rsidR="00263F81">
        <w:t xml:space="preserve">. </w:t>
      </w:r>
      <w:r w:rsidR="00A55E0D">
        <w:t>Another approach involves c</w:t>
      </w:r>
      <w:r w:rsidR="00C86BC5" w:rsidRPr="008E3B98">
        <w:t>ross</w:t>
      </w:r>
      <w:r w:rsidR="00E27A17">
        <w:t>-</w:t>
      </w:r>
      <w:r w:rsidR="00C86BC5" w:rsidRPr="008E3B98">
        <w:t>departmental multidisciplinary projects, both operational and more strategic.</w:t>
      </w:r>
      <w:r w:rsidR="00C86BC5">
        <w:t xml:space="preserve"> </w:t>
      </w:r>
      <w:r w:rsidR="00C86BC5" w:rsidRPr="009816EE">
        <w:t xml:space="preserve">This would </w:t>
      </w:r>
      <w:r w:rsidR="001A0136">
        <w:t xml:space="preserve">also </w:t>
      </w:r>
      <w:r w:rsidR="00A55E0D">
        <w:t>aid</w:t>
      </w:r>
      <w:r w:rsidR="00C86BC5" w:rsidRPr="009816EE">
        <w:t xml:space="preserve"> </w:t>
      </w:r>
      <w:r w:rsidR="00A55E0D">
        <w:t>implementation of</w:t>
      </w:r>
      <w:r w:rsidR="00C86BC5" w:rsidRPr="009816EE">
        <w:t xml:space="preserve"> </w:t>
      </w:r>
      <w:r w:rsidR="00A55E0D">
        <w:t xml:space="preserve">Moss Review </w:t>
      </w:r>
      <w:r w:rsidR="00C86BC5" w:rsidRPr="009816EE">
        <w:t>recommendation 20 by fulfilling the department’s original intent of establishing the Principal</w:t>
      </w:r>
      <w:r w:rsidR="00C86BC5">
        <w:t xml:space="preserve"> Regulatory Officer by ‘driving closer coordination and collaboration between relevant business </w:t>
      </w:r>
      <w:r w:rsidR="00C86BC5" w:rsidRPr="00422D49">
        <w:t>areas’</w:t>
      </w:r>
      <w:r w:rsidR="00E27A17" w:rsidRPr="00422D49">
        <w:t xml:space="preserve"> </w:t>
      </w:r>
      <w:r w:rsidR="001A0136" w:rsidRPr="00422D49">
        <w:t>(</w:t>
      </w:r>
      <w:r w:rsidR="000975F5" w:rsidRPr="0094658F">
        <w:t>see</w:t>
      </w:r>
      <w:r w:rsidR="00E27A17" w:rsidRPr="00422D49">
        <w:t xml:space="preserve"> Moss Review recommendation 20</w:t>
      </w:r>
      <w:r w:rsidR="00422D49" w:rsidRPr="0094658F">
        <w:t xml:space="preserve"> in </w:t>
      </w:r>
      <w:hyperlink w:anchor="_Summary_of_recommendation" w:history="1">
        <w:r w:rsidR="00422D49" w:rsidRPr="0094658F">
          <w:rPr>
            <w:rStyle w:val="Hyperlink"/>
          </w:rPr>
          <w:t>1 Recommendation status</w:t>
        </w:r>
      </w:hyperlink>
      <w:r w:rsidR="001A0136" w:rsidRPr="00422D49">
        <w:t>)</w:t>
      </w:r>
      <w:r w:rsidR="00E27A17" w:rsidRPr="00422D49">
        <w:t>.</w:t>
      </w:r>
    </w:p>
    <w:p w14:paraId="0D547570" w14:textId="4A9771D2" w:rsidR="00CE54B5" w:rsidRPr="00365237" w:rsidRDefault="00CE54B5" w:rsidP="00E44C60">
      <w:pPr>
        <w:pStyle w:val="BoxHeading"/>
        <w:keepNext/>
      </w:pPr>
      <w:r w:rsidRPr="00365237">
        <w:lastRenderedPageBreak/>
        <w:t>Inspector-</w:t>
      </w:r>
      <w:r w:rsidR="006267EB" w:rsidRPr="00365237">
        <w:t>g</w:t>
      </w:r>
      <w:r w:rsidRPr="00365237">
        <w:t>eneral recommendation 4</w:t>
      </w:r>
      <w:r w:rsidR="009A2327" w:rsidRPr="00365237">
        <w:tab/>
      </w:r>
    </w:p>
    <w:p w14:paraId="7C2A1117" w14:textId="77777777" w:rsidR="00CE54B5" w:rsidRPr="009A2327" w:rsidRDefault="00CE54B5" w:rsidP="00E44C60">
      <w:pPr>
        <w:pStyle w:val="BoxText"/>
        <w:keepNext/>
      </w:pPr>
      <w:r w:rsidRPr="00D27595">
        <w:t>That the department address the challenge that dispersed regulatory functions pose to improved regulatory practice. This could include:</w:t>
      </w:r>
    </w:p>
    <w:p w14:paraId="74DEA387" w14:textId="650DBE9F" w:rsidR="00CE54B5" w:rsidRPr="00D27595" w:rsidRDefault="00CE54B5" w:rsidP="00E44C60">
      <w:pPr>
        <w:pStyle w:val="BoxTextBullet"/>
        <w:keepNext/>
      </w:pPr>
      <w:r w:rsidRPr="008B44D2">
        <w:t>accelerating the expansion of the role of the Principal Regulatory Officer</w:t>
      </w:r>
      <w:r w:rsidR="00847A9B">
        <w:t>,</w:t>
      </w:r>
      <w:r w:rsidRPr="008B44D2">
        <w:t xml:space="preserve"> consistent with its original intent</w:t>
      </w:r>
    </w:p>
    <w:p w14:paraId="4B9C35AB" w14:textId="77777777" w:rsidR="00D27595" w:rsidRPr="00D27595" w:rsidRDefault="00CE54B5" w:rsidP="00E44C60">
      <w:pPr>
        <w:pStyle w:val="BoxTextBullet"/>
        <w:keepNext/>
      </w:pPr>
      <w:r w:rsidRPr="00D27595">
        <w:t>secondments and placements of staff from relevant functional regulatory areas into the</w:t>
      </w:r>
      <w:r w:rsidR="00D27595" w:rsidRPr="00D27595">
        <w:t xml:space="preserve"> Plant and Live Animal Exports Division</w:t>
      </w:r>
    </w:p>
    <w:p w14:paraId="1FB1536F" w14:textId="6560C6A2" w:rsidR="00CE54B5" w:rsidRPr="00D27595" w:rsidRDefault="00CE54B5" w:rsidP="00E44C60">
      <w:pPr>
        <w:pStyle w:val="BoxTextBullet"/>
        <w:keepNext/>
      </w:pPr>
      <w:r w:rsidRPr="00D27595">
        <w:t>instituting cross-functional multidisciplinary projects at strategic and operational levels as a business-as-usual approach to compliance monitoring.</w:t>
      </w:r>
    </w:p>
    <w:p w14:paraId="6E88C12E" w14:textId="73AABEEE" w:rsidR="00CC70E2" w:rsidRDefault="00CC70E2" w:rsidP="00453466">
      <w:pPr>
        <w:pStyle w:val="Heading3"/>
      </w:pPr>
      <w:bookmarkStart w:id="42" w:name="_Toc58774289"/>
      <w:r>
        <w:t xml:space="preserve">Ensuring animal welfare is integral to </w:t>
      </w:r>
      <w:r w:rsidR="0094658F">
        <w:t>the department’s r</w:t>
      </w:r>
      <w:r>
        <w:t>egulatory approach</w:t>
      </w:r>
      <w:r w:rsidR="00323F28">
        <w:t xml:space="preserve"> </w:t>
      </w:r>
      <w:r>
        <w:t>–</w:t>
      </w:r>
      <w:r w:rsidR="00323F28">
        <w:t xml:space="preserve"> </w:t>
      </w:r>
      <w:r>
        <w:t>regulatory culture</w:t>
      </w:r>
      <w:bookmarkEnd w:id="42"/>
    </w:p>
    <w:p w14:paraId="10B61AA4" w14:textId="31B88E4E" w:rsidR="00CC70E2" w:rsidRDefault="000B0817" w:rsidP="00CC70E2">
      <w:r>
        <w:t xml:space="preserve">The </w:t>
      </w:r>
      <w:r w:rsidR="006932ED">
        <w:t>Moss Review</w:t>
      </w:r>
      <w:r>
        <w:t xml:space="preserve"> </w:t>
      </w:r>
      <w:r w:rsidR="00421C65">
        <w:t xml:space="preserve">(2018) </w:t>
      </w:r>
      <w:r>
        <w:t xml:space="preserve">was </w:t>
      </w:r>
      <w:r w:rsidR="00F04D0A">
        <w:t>clear on the importance of animal welfare in the regulation of live</w:t>
      </w:r>
      <w:r w:rsidR="00BD7FC4">
        <w:t>stock</w:t>
      </w:r>
      <w:r w:rsidR="00F04D0A">
        <w:t xml:space="preserve"> animal exports</w:t>
      </w:r>
      <w:r w:rsidR="00323F28">
        <w:t>,</w:t>
      </w:r>
      <w:r w:rsidR="00F04D0A">
        <w:t xml:space="preserve"> concluding that:</w:t>
      </w:r>
    </w:p>
    <w:p w14:paraId="4387AE24" w14:textId="7156C78E" w:rsidR="000975F5" w:rsidRDefault="00F04D0A" w:rsidP="00C957E5">
      <w:pPr>
        <w:pStyle w:val="Quote"/>
      </w:pPr>
      <w:r>
        <w:t>The department, together with industry, must place animal welfare at the centre of its regulatory activities relating to live animal exports consistent with legislative obligations</w:t>
      </w:r>
      <w:r w:rsidR="003407A2">
        <w:t xml:space="preserve"> (Moss 2018)</w:t>
      </w:r>
      <w:r>
        <w:t>.</w:t>
      </w:r>
    </w:p>
    <w:p w14:paraId="668D14B6" w14:textId="7B7645A3" w:rsidR="00F04D0A" w:rsidRDefault="006932ED" w:rsidP="00CC70E2">
      <w:r>
        <w:t>Moss Review</w:t>
      </w:r>
      <w:r w:rsidR="00F04D0A">
        <w:t xml:space="preserve"> recommendation 14 was intended to give effect to this conclusion</w:t>
      </w:r>
      <w:r w:rsidR="00421C65">
        <w:t>,</w:t>
      </w:r>
      <w:r w:rsidR="00F04D0A">
        <w:t xml:space="preserve"> recommending:</w:t>
      </w:r>
    </w:p>
    <w:p w14:paraId="7C7A6D5B" w14:textId="29328348" w:rsidR="00F04D0A" w:rsidRDefault="00F04D0A" w:rsidP="00C957E5">
      <w:pPr>
        <w:pStyle w:val="Quote"/>
      </w:pPr>
      <w:r>
        <w:t>That the department re-establish an Animal Welfare Branch and place animal welfare at the centre of its regulatory activities in relation to live animal exports</w:t>
      </w:r>
      <w:r w:rsidR="003407A2">
        <w:t xml:space="preserve"> (Moss 2018)</w:t>
      </w:r>
      <w:r>
        <w:t>.</w:t>
      </w:r>
    </w:p>
    <w:p w14:paraId="4730779D" w14:textId="460585B9" w:rsidR="000975F5" w:rsidRDefault="00EC0337" w:rsidP="00EC0337">
      <w:r>
        <w:t>Likewise</w:t>
      </w:r>
      <w:r w:rsidR="005E000E">
        <w:t>,</w:t>
      </w:r>
      <w:r>
        <w:t xml:space="preserve"> one of the objects of the </w:t>
      </w:r>
      <w:r w:rsidRPr="008A55EB">
        <w:rPr>
          <w:i/>
        </w:rPr>
        <w:t>Inspector-General of Live Animal Exports Act 2019</w:t>
      </w:r>
      <w:r>
        <w:t xml:space="preserve"> is:</w:t>
      </w:r>
    </w:p>
    <w:p w14:paraId="4956A470" w14:textId="1E99BAD6" w:rsidR="00EC0337" w:rsidRPr="00217BAA" w:rsidRDefault="002D5F8D" w:rsidP="003A78EC">
      <w:pPr>
        <w:pStyle w:val="Quote"/>
      </w:pPr>
      <w:r>
        <w:t>…</w:t>
      </w:r>
      <w:r w:rsidR="006C46EE">
        <w:t xml:space="preserve"> </w:t>
      </w:r>
      <w:r w:rsidR="00EC0337" w:rsidRPr="008A55EB">
        <w:t>to ensure that live-stock export officials, in performing functions and exercising powers, consider the welfare of animals in Australia’s live-stock exports.</w:t>
      </w:r>
    </w:p>
    <w:p w14:paraId="2969A864" w14:textId="47A2EC57" w:rsidR="000975F5" w:rsidRDefault="00EC0337" w:rsidP="00CC70E2">
      <w:r>
        <w:t xml:space="preserve">In its response to the </w:t>
      </w:r>
      <w:r w:rsidR="006932ED">
        <w:t>Moss Review</w:t>
      </w:r>
      <w:r w:rsidR="00421C65">
        <w:t>,</w:t>
      </w:r>
      <w:r>
        <w:t xml:space="preserve"> the department stated that it:</w:t>
      </w:r>
    </w:p>
    <w:p w14:paraId="556DBC73" w14:textId="4618393E" w:rsidR="000975F5" w:rsidRDefault="00FA058E" w:rsidP="00C957E5">
      <w:pPr>
        <w:pStyle w:val="Quote"/>
      </w:pPr>
      <w:r>
        <w:t>…</w:t>
      </w:r>
      <w:r w:rsidR="006C46EE">
        <w:t xml:space="preserve"> </w:t>
      </w:r>
      <w:r w:rsidR="00EC0337">
        <w:t>is committed to ensuring animal welfare is integral to its regulatory approach for exports</w:t>
      </w:r>
      <w:r w:rsidR="00692A18">
        <w:t xml:space="preserve"> …</w:t>
      </w:r>
      <w:r w:rsidR="00EC0337">
        <w:t xml:space="preserve">’ and that it will </w:t>
      </w:r>
      <w:r>
        <w:t>‘…</w:t>
      </w:r>
      <w:r w:rsidR="006C46EE">
        <w:t xml:space="preserve"> </w:t>
      </w:r>
      <w:r>
        <w:t>re-establish</w:t>
      </w:r>
      <w:r w:rsidR="00EC0337">
        <w:t xml:space="preserve"> an Animal Welfare Branch, which will include in its mandate ongoing </w:t>
      </w:r>
      <w:r w:rsidR="00C67E19">
        <w:t>activities</w:t>
      </w:r>
      <w:r w:rsidR="00EC0337">
        <w:t xml:space="preserve"> to support the effective implementation and regulation of animal welfare standards for live animal exports</w:t>
      </w:r>
      <w:r w:rsidR="00050B4C">
        <w:t xml:space="preserve"> (</w:t>
      </w:r>
      <w:r w:rsidR="00050B4C" w:rsidRPr="001D71C2">
        <w:t>Department of Agriculture and Water Resources 2018)</w:t>
      </w:r>
      <w:r w:rsidR="00EC0337" w:rsidRPr="001D71C2">
        <w:t>.</w:t>
      </w:r>
    </w:p>
    <w:p w14:paraId="0433CAC6" w14:textId="19416CD4" w:rsidR="00F04D0A" w:rsidRDefault="007B3FD5" w:rsidP="00CC70E2">
      <w:r>
        <w:t xml:space="preserve">The </w:t>
      </w:r>
      <w:r w:rsidR="006932ED">
        <w:t>Moss Review</w:t>
      </w:r>
      <w:r>
        <w:t xml:space="preserve"> </w:t>
      </w:r>
      <w:r w:rsidR="00692A18">
        <w:t>addresses</w:t>
      </w:r>
      <w:r>
        <w:t xml:space="preserve"> regulatory culture in the department from </w:t>
      </w:r>
      <w:r w:rsidR="00753206">
        <w:t>various</w:t>
      </w:r>
      <w:r w:rsidR="00390F36">
        <w:t xml:space="preserve"> </w:t>
      </w:r>
      <w:r>
        <w:t xml:space="preserve">perspectives. </w:t>
      </w:r>
      <w:r w:rsidR="00692A18">
        <w:t>It draws on</w:t>
      </w:r>
      <w:r>
        <w:t xml:space="preserve"> a submission</w:t>
      </w:r>
      <w:r w:rsidR="00692A18">
        <w:t xml:space="preserve"> to observe</w:t>
      </w:r>
      <w:r>
        <w:t xml:space="preserve"> that: </w:t>
      </w:r>
      <w:r w:rsidR="00FA058E">
        <w:t>‘…</w:t>
      </w:r>
      <w:r w:rsidR="006C46EE">
        <w:t xml:space="preserve"> </w:t>
      </w:r>
      <w:r>
        <w:t>the live animal export industry relies on community support or social licence, which relies on trust in the regulatory structure</w:t>
      </w:r>
      <w:r w:rsidR="00692A18">
        <w:t>’</w:t>
      </w:r>
      <w:r>
        <w:t xml:space="preserve">. The </w:t>
      </w:r>
      <w:r w:rsidR="006932ED">
        <w:t>Moss Review</w:t>
      </w:r>
      <w:r>
        <w:t xml:space="preserve"> discussion led to </w:t>
      </w:r>
      <w:r w:rsidR="002D5F8D">
        <w:t xml:space="preserve">recommendation </w:t>
      </w:r>
      <w:r>
        <w:t>28:</w:t>
      </w:r>
    </w:p>
    <w:p w14:paraId="635F3061" w14:textId="3A50163D" w:rsidR="007B3FD5" w:rsidRDefault="007B3FD5" w:rsidP="002D5F8D">
      <w:pPr>
        <w:pStyle w:val="Quote"/>
      </w:pPr>
      <w:r>
        <w:t>That the department engage with the live animal export industry to demonstrate joint unequivocal commitment to animal welfare.</w:t>
      </w:r>
    </w:p>
    <w:p w14:paraId="346114F8" w14:textId="196E35B8" w:rsidR="007B3FD5" w:rsidRDefault="00050B4C" w:rsidP="00CC70E2">
      <w:r>
        <w:t xml:space="preserve">The </w:t>
      </w:r>
      <w:r w:rsidR="007B3FD5">
        <w:t>department and industry have made substantial improvements in relation to this recommendation</w:t>
      </w:r>
      <w:r w:rsidR="00692A18">
        <w:t>,</w:t>
      </w:r>
      <w:r w:rsidR="007B3FD5">
        <w:t xml:space="preserve"> with the northern summer voluntary moratorium</w:t>
      </w:r>
      <w:r w:rsidR="008768F4">
        <w:t xml:space="preserve">, northern summer </w:t>
      </w:r>
      <w:r w:rsidR="008768F4">
        <w:lastRenderedPageBreak/>
        <w:t>prohibition,</w:t>
      </w:r>
      <w:r w:rsidR="00151C00">
        <w:t xml:space="preserve"> and ASEL 3.0</w:t>
      </w:r>
      <w:r w:rsidR="007B3FD5">
        <w:t xml:space="preserve"> providing very tangible example</w:t>
      </w:r>
      <w:r w:rsidR="00151C00">
        <w:t>s</w:t>
      </w:r>
      <w:r w:rsidR="007B3FD5">
        <w:t xml:space="preserve"> of action</w:t>
      </w:r>
      <w:r w:rsidR="00F6741D">
        <w:t xml:space="preserve"> (</w:t>
      </w:r>
      <w:r w:rsidR="000975F5">
        <w:t>see</w:t>
      </w:r>
      <w:r w:rsidR="00F6741D" w:rsidRPr="00F6741D">
        <w:t xml:space="preserve"> </w:t>
      </w:r>
      <w:hyperlink w:anchor="_Recommendation__status" w:history="1">
        <w:r w:rsidR="00692A18" w:rsidRPr="00692A18">
          <w:rPr>
            <w:rStyle w:val="Hyperlink"/>
          </w:rPr>
          <w:t>1</w:t>
        </w:r>
        <w:r w:rsidR="00692A18">
          <w:rPr>
            <w:rStyle w:val="Hyperlink"/>
          </w:rPr>
          <w:t> </w:t>
        </w:r>
        <w:r w:rsidR="00692A18" w:rsidRPr="00692A18">
          <w:rPr>
            <w:rStyle w:val="Hyperlink"/>
          </w:rPr>
          <w:t>Recommendation status</w:t>
        </w:r>
      </w:hyperlink>
      <w:r w:rsidR="00F6741D">
        <w:t>).</w:t>
      </w:r>
    </w:p>
    <w:p w14:paraId="6E9180EE" w14:textId="081DD7AD" w:rsidR="004E3D02" w:rsidRDefault="00F6741D" w:rsidP="004E3D02">
      <w:r>
        <w:t>The</w:t>
      </w:r>
      <w:r w:rsidR="007B3FD5" w:rsidRPr="004E3D02">
        <w:t xml:space="preserve"> </w:t>
      </w:r>
      <w:r w:rsidR="006932ED">
        <w:t>Moss Review</w:t>
      </w:r>
      <w:r w:rsidR="007B3FD5" w:rsidRPr="004E3D02">
        <w:t xml:space="preserve"> also points </w:t>
      </w:r>
      <w:r w:rsidR="00692A18">
        <w:t>to</w:t>
      </w:r>
      <w:r w:rsidR="007B3FD5" w:rsidRPr="004E3D02">
        <w:t xml:space="preserve"> a critical aspect of regulatory practice</w:t>
      </w:r>
      <w:r w:rsidR="00692A18">
        <w:t>,</w:t>
      </w:r>
      <w:r w:rsidR="00FB498C" w:rsidRPr="004E3D02">
        <w:t xml:space="preserve"> noting that:</w:t>
      </w:r>
    </w:p>
    <w:p w14:paraId="285C754C" w14:textId="3757D85C" w:rsidR="004E3D02" w:rsidRPr="004E3D02" w:rsidRDefault="00FB498C" w:rsidP="004E3D02">
      <w:pPr>
        <w:pStyle w:val="Quote"/>
      </w:pPr>
      <w:r w:rsidRPr="004E3D02">
        <w:t xml:space="preserve"> </w:t>
      </w:r>
      <w:r w:rsidR="00FA058E" w:rsidRPr="004E3D02">
        <w:rPr>
          <w:rStyle w:val="QuoteChar"/>
          <w:iCs/>
        </w:rPr>
        <w:t>…</w:t>
      </w:r>
      <w:r w:rsidR="006C46EE">
        <w:rPr>
          <w:rStyle w:val="QuoteChar"/>
          <w:iCs/>
        </w:rPr>
        <w:t xml:space="preserve"> </w:t>
      </w:r>
      <w:r w:rsidRPr="004E3D02">
        <w:rPr>
          <w:rStyle w:val="QuoteChar"/>
          <w:iCs/>
        </w:rPr>
        <w:t xml:space="preserve">the regulator must not only balance regulatory objectives, but also ensure that the regulation sufficiently meets the expectations of the Australian community while </w:t>
      </w:r>
      <w:r w:rsidRPr="001D71C2">
        <w:rPr>
          <w:rStyle w:val="QuoteChar"/>
          <w:iCs/>
        </w:rPr>
        <w:t xml:space="preserve">operating within the legislative framework established by </w:t>
      </w:r>
      <w:r w:rsidR="004E3D02" w:rsidRPr="001D71C2">
        <w:rPr>
          <w:rStyle w:val="QuoteChar"/>
          <w:iCs/>
        </w:rPr>
        <w:t>Parliament</w:t>
      </w:r>
      <w:r w:rsidR="00F6741D" w:rsidRPr="001D71C2">
        <w:rPr>
          <w:rStyle w:val="QuoteChar"/>
          <w:iCs/>
        </w:rPr>
        <w:t xml:space="preserve"> (Moss 2018)</w:t>
      </w:r>
      <w:r w:rsidR="004E3D02" w:rsidRPr="001D71C2">
        <w:rPr>
          <w:rStyle w:val="QuoteChar"/>
          <w:iCs/>
        </w:rPr>
        <w:t>.</w:t>
      </w:r>
    </w:p>
    <w:p w14:paraId="6DE3637D" w14:textId="10381F21" w:rsidR="000975F5" w:rsidRDefault="00844945" w:rsidP="00CC70E2">
      <w:r>
        <w:t>Balancing regulatory objectives is a critical element of re</w:t>
      </w:r>
      <w:r w:rsidR="0083569E">
        <w:t xml:space="preserve">gulatory </w:t>
      </w:r>
      <w:r w:rsidR="005E000E">
        <w:t>decision-mak</w:t>
      </w:r>
      <w:r w:rsidR="0083569E">
        <w:t xml:space="preserve">ing. This is an ongoing issue for the department </w:t>
      </w:r>
      <w:r w:rsidR="00692A18">
        <w:t>because</w:t>
      </w:r>
      <w:r w:rsidR="0083569E">
        <w:t xml:space="preserve"> it is an important element in community trust and confidence in the regulator. </w:t>
      </w:r>
      <w:r w:rsidR="00692A18">
        <w:t>T</w:t>
      </w:r>
      <w:r w:rsidR="00FB498C">
        <w:t xml:space="preserve">he </w:t>
      </w:r>
      <w:r w:rsidR="006932ED">
        <w:t>Moss Review</w:t>
      </w:r>
      <w:r w:rsidR="00FB498C">
        <w:t xml:space="preserve"> draws a</w:t>
      </w:r>
      <w:r w:rsidR="007B700A">
        <w:t xml:space="preserve">ttention to what </w:t>
      </w:r>
      <w:r w:rsidR="00692A18">
        <w:t>some</w:t>
      </w:r>
      <w:r w:rsidR="007B700A">
        <w:t xml:space="preserve"> submi</w:t>
      </w:r>
      <w:r w:rsidR="00692A18">
        <w:t>ssions</w:t>
      </w:r>
      <w:r w:rsidR="00FB498C">
        <w:t xml:space="preserve"> </w:t>
      </w:r>
      <w:r w:rsidR="00692A18">
        <w:t xml:space="preserve">saw </w:t>
      </w:r>
      <w:r w:rsidR="00FB498C">
        <w:t>as a fundamental contradiction in the department’s functions</w:t>
      </w:r>
      <w:r w:rsidR="00A71D12">
        <w:t>.</w:t>
      </w:r>
      <w:r w:rsidR="00FB498C">
        <w:t xml:space="preserve"> </w:t>
      </w:r>
      <w:r w:rsidR="007E3D2D">
        <w:t xml:space="preserve">Moss </w:t>
      </w:r>
      <w:r w:rsidR="00FB498C">
        <w:t>not</w:t>
      </w:r>
      <w:r w:rsidR="007E3D2D">
        <w:t>ed</w:t>
      </w:r>
      <w:r w:rsidR="00FB498C">
        <w:t xml:space="preserve"> that</w:t>
      </w:r>
      <w:r w:rsidR="00A71D12">
        <w:t xml:space="preserve"> the department’s focus on trade facilitation means that it is balancing competing factors in its role as the regulator of live</w:t>
      </w:r>
      <w:r w:rsidR="00BD7FC4">
        <w:t>stock</w:t>
      </w:r>
      <w:r w:rsidR="00A71D12">
        <w:t xml:space="preserve"> animal exports and concluded that</w:t>
      </w:r>
      <w:r w:rsidR="00FB498C">
        <w:t>:</w:t>
      </w:r>
    </w:p>
    <w:p w14:paraId="7DE9F6B4" w14:textId="6CDCF236" w:rsidR="001E2C44" w:rsidRDefault="00FB498C" w:rsidP="00A24069">
      <w:pPr>
        <w:pStyle w:val="Quote"/>
      </w:pPr>
      <w:r>
        <w:t>The department’s focus on trade facilitation means that it is balancing competing factors in its role as the regulator of live animal export</w:t>
      </w:r>
      <w:r w:rsidR="001E2C44">
        <w:t>s (</w:t>
      </w:r>
      <w:r w:rsidR="001E2C44" w:rsidRPr="001D71C2">
        <w:t>Moss 2018</w:t>
      </w:r>
      <w:r w:rsidR="001E2C44">
        <w:t>).</w:t>
      </w:r>
    </w:p>
    <w:p w14:paraId="2D7862DB" w14:textId="1B407726" w:rsidR="00892B6A" w:rsidRDefault="001E2C44" w:rsidP="00A24069">
      <w:pPr>
        <w:pStyle w:val="Quote"/>
      </w:pPr>
      <w:r>
        <w:t>T</w:t>
      </w:r>
      <w:r w:rsidR="00892B6A">
        <w:t xml:space="preserve">he </w:t>
      </w:r>
      <w:r w:rsidR="00FB498C">
        <w:t>focus on trade facilitation and industry deregulation appears to have had a negative impact</w:t>
      </w:r>
      <w:r>
        <w:t xml:space="preserve"> </w:t>
      </w:r>
      <w:r w:rsidR="00FB498C">
        <w:t>the department’s culture as a regulator</w:t>
      </w:r>
      <w:r w:rsidR="00DA1A3B">
        <w:t xml:space="preserve"> (</w:t>
      </w:r>
      <w:r w:rsidR="00DA1A3B" w:rsidRPr="001D71C2">
        <w:t>Moss 2018)</w:t>
      </w:r>
      <w:r w:rsidR="00FB498C" w:rsidRPr="001D71C2">
        <w:t>.</w:t>
      </w:r>
    </w:p>
    <w:p w14:paraId="476C98D6" w14:textId="458A0CFD" w:rsidR="000975F5" w:rsidRDefault="00F054F9" w:rsidP="00CC70E2">
      <w:r>
        <w:t>T</w:t>
      </w:r>
      <w:r w:rsidR="00F5051E">
        <w:t xml:space="preserve">he issues </w:t>
      </w:r>
      <w:r w:rsidR="00F47BB1">
        <w:t xml:space="preserve">of trade facilitation and regulation </w:t>
      </w:r>
      <w:r w:rsidR="00F5051E">
        <w:t xml:space="preserve">are not irreconcilable </w:t>
      </w:r>
      <w:r w:rsidR="006F005A">
        <w:t>under the current framework.</w:t>
      </w:r>
      <w:r>
        <w:t xml:space="preserve"> The </w:t>
      </w:r>
      <w:r w:rsidR="006932ED">
        <w:t>Moss Review</w:t>
      </w:r>
      <w:r>
        <w:t xml:space="preserve"> noted </w:t>
      </w:r>
      <w:r w:rsidR="00CC05BC">
        <w:t>t</w:t>
      </w:r>
      <w:r>
        <w:t>hat:</w:t>
      </w:r>
    </w:p>
    <w:p w14:paraId="4B05E7D7" w14:textId="394F863B" w:rsidR="00F054F9" w:rsidRDefault="00F054F9" w:rsidP="00A24069">
      <w:pPr>
        <w:pStyle w:val="Quote"/>
      </w:pPr>
      <w:r>
        <w:t xml:space="preserve">… regulation is not to </w:t>
      </w:r>
      <w:proofErr w:type="gramStart"/>
      <w:r>
        <w:t>be seen as</w:t>
      </w:r>
      <w:proofErr w:type="gramEnd"/>
      <w:r>
        <w:t xml:space="preserve"> a barrier to trade, but as the means to facilitate trade to operate within prescribed parameters, essential to its proper functioning</w:t>
      </w:r>
      <w:r w:rsidR="00A71D12">
        <w:t xml:space="preserve"> (Moss 2018)</w:t>
      </w:r>
      <w:r>
        <w:t>.</w:t>
      </w:r>
    </w:p>
    <w:p w14:paraId="55E09387" w14:textId="68A703E3" w:rsidR="00FB498C" w:rsidRDefault="006F005A" w:rsidP="00CC70E2">
      <w:r>
        <w:t>However,</w:t>
      </w:r>
      <w:r w:rsidR="00F5051E">
        <w:t xml:space="preserve"> </w:t>
      </w:r>
      <w:r w:rsidR="00151C00">
        <w:t>the way in which the department</w:t>
      </w:r>
      <w:r w:rsidR="00B94840">
        <w:t xml:space="preserve"> is perceived to balance these objectives</w:t>
      </w:r>
      <w:r w:rsidR="00F5051E">
        <w:t xml:space="preserve"> require</w:t>
      </w:r>
      <w:r w:rsidR="00B94840">
        <w:t xml:space="preserve">s </w:t>
      </w:r>
      <w:r w:rsidR="00F5051E">
        <w:t xml:space="preserve">ongoing attention and clarity in governance and </w:t>
      </w:r>
      <w:r w:rsidR="005E000E">
        <w:t>decision-mak</w:t>
      </w:r>
      <w:r w:rsidR="00F5051E">
        <w:t>ing</w:t>
      </w:r>
      <w:r w:rsidR="00CC05BC">
        <w:t>. The department needs to be</w:t>
      </w:r>
      <w:r w:rsidR="00F5051E">
        <w:t xml:space="preserve"> mindful of the importance of community perception in maintaining regulatory legitimacy</w:t>
      </w:r>
      <w:r w:rsidR="00DA1A3B">
        <w:t>.</w:t>
      </w:r>
      <w:r w:rsidR="004D0DC9">
        <w:t xml:space="preserve"> </w:t>
      </w:r>
      <w:r w:rsidR="007B700A">
        <w:t xml:space="preserve">Clarity is </w:t>
      </w:r>
      <w:r w:rsidR="004D0DC9">
        <w:t xml:space="preserve">also </w:t>
      </w:r>
      <w:r w:rsidR="00CC05BC">
        <w:t>required</w:t>
      </w:r>
      <w:r w:rsidR="007B700A">
        <w:t xml:space="preserve"> to guide departmental officers in the performance of their regulatory duties.</w:t>
      </w:r>
    </w:p>
    <w:p w14:paraId="3AC9BED7" w14:textId="671DBECE" w:rsidR="007B700A" w:rsidRDefault="007B700A" w:rsidP="00CC70E2">
      <w:r>
        <w:t xml:space="preserve">Concerns </w:t>
      </w:r>
      <w:r w:rsidR="00CC05BC">
        <w:t xml:space="preserve">about the recent </w:t>
      </w:r>
      <w:r w:rsidR="000E2F2E">
        <w:t xml:space="preserve">MV </w:t>
      </w:r>
      <w:r w:rsidR="00CC05BC" w:rsidRPr="000E2F2E">
        <w:rPr>
          <w:rStyle w:val="Emphasis"/>
        </w:rPr>
        <w:t>Al Kuwait</w:t>
      </w:r>
      <w:r w:rsidR="00CC05BC">
        <w:t xml:space="preserve"> exemption decision</w:t>
      </w:r>
      <w:r w:rsidR="00CC05BC" w:rsidDel="00E4566D">
        <w:t xml:space="preserve"> </w:t>
      </w:r>
      <w:r>
        <w:t xml:space="preserve">have been raised in submissions to this review and directly with the </w:t>
      </w:r>
      <w:r w:rsidR="00A24C77">
        <w:t>i</w:t>
      </w:r>
      <w:r w:rsidR="00291E53">
        <w:t>nspector-</w:t>
      </w:r>
      <w:r w:rsidR="00A24C77">
        <w:t>g</w:t>
      </w:r>
      <w:r w:rsidR="00291E53">
        <w:t>eneral</w:t>
      </w:r>
      <w:r>
        <w:t xml:space="preserve">. As described </w:t>
      </w:r>
      <w:r w:rsidR="00CC05BC">
        <w:t xml:space="preserve">in </w:t>
      </w:r>
      <w:r w:rsidR="00E4566D">
        <w:fldChar w:fldCharType="begin"/>
      </w:r>
      <w:r w:rsidR="00E4566D">
        <w:instrText xml:space="preserve"> REF _Ref53671514 \h </w:instrText>
      </w:r>
      <w:r w:rsidR="00E4566D">
        <w:fldChar w:fldCharType="separate"/>
      </w:r>
      <w:r w:rsidR="00FE420F">
        <w:t xml:space="preserve">Case study </w:t>
      </w:r>
      <w:r w:rsidR="00FE420F">
        <w:rPr>
          <w:noProof/>
        </w:rPr>
        <w:t>2</w:t>
      </w:r>
      <w:r w:rsidR="00E4566D">
        <w:fldChar w:fldCharType="end"/>
      </w:r>
      <w:r w:rsidR="00E4566D">
        <w:t>,</w:t>
      </w:r>
      <w:r>
        <w:t xml:space="preserve"> the department undertook </w:t>
      </w:r>
      <w:r w:rsidR="00E4566D">
        <w:t>2 </w:t>
      </w:r>
      <w:r>
        <w:t xml:space="preserve">assessments </w:t>
      </w:r>
      <w:r w:rsidR="00E4566D">
        <w:t>of</w:t>
      </w:r>
      <w:r>
        <w:t xml:space="preserve"> different applications for this exemption. The </w:t>
      </w:r>
      <w:r w:rsidR="00D6310A">
        <w:t>department demonstrated good regulatory practice in publishing its decisions and reasons in a timely manner. In both instances</w:t>
      </w:r>
      <w:r w:rsidR="00E4566D">
        <w:t>,</w:t>
      </w:r>
      <w:r w:rsidR="00D6310A">
        <w:t xml:space="preserve"> the </w:t>
      </w:r>
      <w:r w:rsidR="005E000E">
        <w:t>decision-mak</w:t>
      </w:r>
      <w:r w:rsidR="00D6310A">
        <w:t>er</w:t>
      </w:r>
      <w:r w:rsidR="008768F4">
        <w:t>s</w:t>
      </w:r>
      <w:r w:rsidR="00D6310A">
        <w:t xml:space="preserve"> sought to set out the critical issues and evidence that they considered, and how this was weighed in determining a decision.</w:t>
      </w:r>
    </w:p>
    <w:p w14:paraId="6971CABF" w14:textId="439DB5B2" w:rsidR="008D022B" w:rsidRDefault="001A0136" w:rsidP="00CC70E2">
      <w:r>
        <w:t>T</w:t>
      </w:r>
      <w:r w:rsidR="00D6310A">
        <w:t xml:space="preserve">he </w:t>
      </w:r>
      <w:r w:rsidR="00D6310A" w:rsidRPr="0053326A">
        <w:rPr>
          <w:i/>
        </w:rPr>
        <w:t>Inspector-General of Live Animal Exports Act 2019</w:t>
      </w:r>
      <w:r w:rsidR="00D6310A">
        <w:t xml:space="preserve"> explicitly excludes the review</w:t>
      </w:r>
      <w:r w:rsidR="00B94840">
        <w:t xml:space="preserve"> of</w:t>
      </w:r>
      <w:r w:rsidR="00D6310A">
        <w:t xml:space="preserve"> only a single performance of a function, or a single exercise of a power by a single livestock export official (s</w:t>
      </w:r>
      <w:r w:rsidR="00692B1A">
        <w:t>ection</w:t>
      </w:r>
      <w:r w:rsidR="000975F5">
        <w:t> </w:t>
      </w:r>
      <w:r w:rsidR="00D6310A">
        <w:t>10(2))</w:t>
      </w:r>
      <w:r>
        <w:t xml:space="preserve">. </w:t>
      </w:r>
      <w:r w:rsidR="00E4566D">
        <w:t>Therefore,</w:t>
      </w:r>
      <w:r>
        <w:t xml:space="preserve"> the </w:t>
      </w:r>
      <w:r w:rsidR="005E227B">
        <w:t>i</w:t>
      </w:r>
      <w:r>
        <w:t>nspector-</w:t>
      </w:r>
      <w:r w:rsidR="005E227B">
        <w:t>g</w:t>
      </w:r>
      <w:r>
        <w:t>eneral makes no observations on the actual decisions. However,</w:t>
      </w:r>
      <w:r w:rsidR="00D6310A">
        <w:t xml:space="preserve"> the </w:t>
      </w:r>
      <w:r w:rsidR="005E227B">
        <w:t>i</w:t>
      </w:r>
      <w:r w:rsidR="00F054F9">
        <w:t>nspector-</w:t>
      </w:r>
      <w:r w:rsidR="005E227B">
        <w:t>g</w:t>
      </w:r>
      <w:r w:rsidR="00F054F9">
        <w:t>eneral</w:t>
      </w:r>
      <w:r w:rsidR="00D6310A">
        <w:t xml:space="preserve"> can </w:t>
      </w:r>
      <w:r w:rsidR="00E4566D">
        <w:t>use</w:t>
      </w:r>
      <w:r w:rsidR="00F054F9">
        <w:t xml:space="preserve"> </w:t>
      </w:r>
      <w:r w:rsidR="00E4566D">
        <w:t xml:space="preserve">elements of </w:t>
      </w:r>
      <w:r w:rsidR="00B94840">
        <w:t>this case study</w:t>
      </w:r>
      <w:r>
        <w:t xml:space="preserve"> to </w:t>
      </w:r>
      <w:r w:rsidR="00E4566D">
        <w:t xml:space="preserve">help </w:t>
      </w:r>
      <w:r>
        <w:t>the department improve regulatory practice and community confidence in it as a regulator</w:t>
      </w:r>
      <w:r w:rsidR="00D6310A">
        <w:t>. These</w:t>
      </w:r>
      <w:r w:rsidR="00E4566D">
        <w:t xml:space="preserve"> elements</w:t>
      </w:r>
      <w:r w:rsidR="00D6310A">
        <w:t xml:space="preserve"> are intended to prompt reflection by the department</w:t>
      </w:r>
      <w:r w:rsidR="0083569E">
        <w:t>, particularly</w:t>
      </w:r>
      <w:r w:rsidR="00D6310A">
        <w:t xml:space="preserve"> on the </w:t>
      </w:r>
      <w:r w:rsidR="008D022B">
        <w:t xml:space="preserve">way </w:t>
      </w:r>
      <w:r w:rsidR="00692B1A">
        <w:t>that</w:t>
      </w:r>
      <w:r w:rsidR="008D022B">
        <w:t xml:space="preserve"> it</w:t>
      </w:r>
      <w:r w:rsidR="0083569E">
        <w:t xml:space="preserve"> articulates its decisions</w:t>
      </w:r>
      <w:r w:rsidR="008D022B">
        <w:t>.</w:t>
      </w:r>
    </w:p>
    <w:p w14:paraId="4BF4C7D5" w14:textId="7B2DC1F8" w:rsidR="00206938" w:rsidRDefault="00206938" w:rsidP="00206938">
      <w:pPr>
        <w:pStyle w:val="Caption"/>
      </w:pPr>
      <w:bookmarkStart w:id="43" w:name="_Ref53671514"/>
      <w:bookmarkStart w:id="44" w:name="_Toc58774294"/>
      <w:r>
        <w:lastRenderedPageBreak/>
        <w:t xml:space="preserve">Case study </w:t>
      </w:r>
      <w:r w:rsidR="00EC637C">
        <w:rPr>
          <w:noProof/>
        </w:rPr>
        <w:fldChar w:fldCharType="begin"/>
      </w:r>
      <w:r w:rsidR="00EC637C">
        <w:rPr>
          <w:noProof/>
        </w:rPr>
        <w:instrText xml:space="preserve"> SEQ Case_study \* ARABIC </w:instrText>
      </w:r>
      <w:r w:rsidR="00EC637C">
        <w:rPr>
          <w:noProof/>
        </w:rPr>
        <w:fldChar w:fldCharType="separate"/>
      </w:r>
      <w:r w:rsidR="00FE420F">
        <w:rPr>
          <w:noProof/>
        </w:rPr>
        <w:t>2</w:t>
      </w:r>
      <w:r w:rsidR="00EC637C">
        <w:rPr>
          <w:noProof/>
        </w:rPr>
        <w:fldChar w:fldCharType="end"/>
      </w:r>
      <w:bookmarkEnd w:id="43"/>
      <w:r>
        <w:t xml:space="preserve"> </w:t>
      </w:r>
      <w:r w:rsidR="000E2F2E">
        <w:t xml:space="preserve">MV </w:t>
      </w:r>
      <w:r>
        <w:t>Al Kuwait northern summer exemption</w:t>
      </w:r>
      <w:r w:rsidR="00BF51FF">
        <w:t>,</w:t>
      </w:r>
      <w:r>
        <w:t xml:space="preserve"> June 2020</w:t>
      </w:r>
      <w:bookmarkEnd w:id="44"/>
    </w:p>
    <w:p w14:paraId="4A3F52EC" w14:textId="640D807C" w:rsidR="00B64FD3" w:rsidRPr="00422D49" w:rsidRDefault="00B64FD3" w:rsidP="00C60271">
      <w:pPr>
        <w:pStyle w:val="BoxText"/>
        <w:rPr>
          <w:b/>
          <w:lang w:eastAsia="ja-JP"/>
        </w:rPr>
      </w:pPr>
      <w:r>
        <w:rPr>
          <w:lang w:eastAsia="ja-JP"/>
        </w:rPr>
        <w:t xml:space="preserve">On 22 April 2020 the </w:t>
      </w:r>
      <w:r w:rsidRPr="009B4372">
        <w:rPr>
          <w:lang w:eastAsia="ja-JP"/>
        </w:rPr>
        <w:t xml:space="preserve">Department </w:t>
      </w:r>
      <w:r>
        <w:rPr>
          <w:lang w:eastAsia="ja-JP"/>
        </w:rPr>
        <w:t xml:space="preserve">of Agriculture, Water and the Environment issued an </w:t>
      </w:r>
      <w:r w:rsidR="00E4566D">
        <w:rPr>
          <w:lang w:eastAsia="ja-JP"/>
        </w:rPr>
        <w:t>e</w:t>
      </w:r>
      <w:r>
        <w:rPr>
          <w:lang w:eastAsia="ja-JP"/>
        </w:rPr>
        <w:t xml:space="preserve">xport </w:t>
      </w:r>
      <w:r w:rsidR="00E4566D">
        <w:rPr>
          <w:lang w:eastAsia="ja-JP"/>
        </w:rPr>
        <w:t>a</w:t>
      </w:r>
      <w:r>
        <w:rPr>
          <w:lang w:eastAsia="ja-JP"/>
        </w:rPr>
        <w:t xml:space="preserve">dvisory </w:t>
      </w:r>
      <w:r w:rsidR="00E4566D">
        <w:rPr>
          <w:lang w:eastAsia="ja-JP"/>
        </w:rPr>
        <w:t>n</w:t>
      </w:r>
      <w:r>
        <w:rPr>
          <w:lang w:eastAsia="ja-JP"/>
        </w:rPr>
        <w:t>otice</w:t>
      </w:r>
      <w:r w:rsidR="00E4566D">
        <w:rPr>
          <w:lang w:eastAsia="ja-JP"/>
        </w:rPr>
        <w:t xml:space="preserve"> (EAN 2020/05)</w:t>
      </w:r>
      <w:r>
        <w:rPr>
          <w:lang w:eastAsia="ja-JP"/>
        </w:rPr>
        <w:t xml:space="preserve"> of the new requirements for </w:t>
      </w:r>
      <w:r w:rsidR="003407A2">
        <w:rPr>
          <w:lang w:eastAsia="ja-JP"/>
        </w:rPr>
        <w:t xml:space="preserve">exporting </w:t>
      </w:r>
      <w:r>
        <w:rPr>
          <w:lang w:eastAsia="ja-JP"/>
        </w:rPr>
        <w:t xml:space="preserve">sheep to, or through, the Middle East from 1 May to 31 October inclusive. </w:t>
      </w:r>
      <w:r w:rsidRPr="000975F5">
        <w:rPr>
          <w:lang w:eastAsia="ja-JP"/>
        </w:rPr>
        <w:t>Under s</w:t>
      </w:r>
      <w:r w:rsidR="00692B1A">
        <w:rPr>
          <w:lang w:eastAsia="ja-JP"/>
        </w:rPr>
        <w:t>ection</w:t>
      </w:r>
      <w:r w:rsidR="000975F5">
        <w:rPr>
          <w:lang w:eastAsia="ja-JP"/>
        </w:rPr>
        <w:t> </w:t>
      </w:r>
      <w:r w:rsidRPr="000975F5">
        <w:rPr>
          <w:lang w:eastAsia="ja-JP"/>
        </w:rPr>
        <w:t>8 of</w:t>
      </w:r>
      <w:r>
        <w:rPr>
          <w:lang w:eastAsia="ja-JP"/>
        </w:rPr>
        <w:t xml:space="preserve"> the </w:t>
      </w:r>
      <w:r w:rsidRPr="00E4212D">
        <w:rPr>
          <w:lang w:eastAsia="ja-JP"/>
        </w:rPr>
        <w:t>Australian Meat and Live‑stock Industry (Prohibition of Export of Sheep by Sea to Middle East</w:t>
      </w:r>
      <w:r w:rsidR="00CB289A">
        <w:rPr>
          <w:lang w:eastAsia="ja-JP"/>
        </w:rPr>
        <w:t xml:space="preserve"> – </w:t>
      </w:r>
      <w:r w:rsidRPr="00E4212D">
        <w:rPr>
          <w:lang w:eastAsia="ja-JP"/>
        </w:rPr>
        <w:t>Northern Summer) Order 2020</w:t>
      </w:r>
      <w:r>
        <w:rPr>
          <w:lang w:eastAsia="ja-JP"/>
        </w:rPr>
        <w:t xml:space="preserve">, an </w:t>
      </w:r>
      <w:r w:rsidRPr="00422D49">
        <w:rPr>
          <w:lang w:eastAsia="ja-JP"/>
        </w:rPr>
        <w:t xml:space="preserve">exporter is prohibited to export sheep that will travel through Middle Eastern waters (north of latitude 11ᵒN) from 1 June. The order is in place as an animal welfare measure to reduce the risk of high heat stress </w:t>
      </w:r>
      <w:r w:rsidR="001B570E" w:rsidRPr="00422D49">
        <w:rPr>
          <w:lang w:eastAsia="ja-JP"/>
        </w:rPr>
        <w:t>in</w:t>
      </w:r>
      <w:r w:rsidRPr="00422D49">
        <w:rPr>
          <w:lang w:eastAsia="ja-JP"/>
        </w:rPr>
        <w:t xml:space="preserve"> exported sheep.</w:t>
      </w:r>
    </w:p>
    <w:p w14:paraId="1CE83222" w14:textId="15C6D22D" w:rsidR="002E07E4" w:rsidRDefault="00B64FD3" w:rsidP="00C60271">
      <w:pPr>
        <w:pStyle w:val="BoxText"/>
        <w:rPr>
          <w:b/>
          <w:lang w:eastAsia="ja-JP"/>
        </w:rPr>
      </w:pPr>
      <w:r w:rsidRPr="00422D49">
        <w:rPr>
          <w:lang w:eastAsia="ja-JP"/>
        </w:rPr>
        <w:t>On 27 May 2020</w:t>
      </w:r>
      <w:r w:rsidR="00D717E3">
        <w:rPr>
          <w:lang w:eastAsia="ja-JP"/>
        </w:rPr>
        <w:t xml:space="preserve"> </w:t>
      </w:r>
      <w:r w:rsidRPr="00422D49">
        <w:rPr>
          <w:lang w:eastAsia="ja-JP"/>
        </w:rPr>
        <w:t>the department received an application for exemption (pursuant to s</w:t>
      </w:r>
      <w:r w:rsidR="007A5762" w:rsidRPr="00422D49">
        <w:rPr>
          <w:lang w:eastAsia="ja-JP"/>
        </w:rPr>
        <w:t> </w:t>
      </w:r>
      <w:r w:rsidRPr="00422D49">
        <w:rPr>
          <w:lang w:eastAsia="ja-JP"/>
        </w:rPr>
        <w:t>11 of the Order</w:t>
      </w:r>
      <w:r w:rsidR="0083569E" w:rsidRPr="00422D49">
        <w:rPr>
          <w:lang w:eastAsia="ja-JP"/>
        </w:rPr>
        <w:t>)</w:t>
      </w:r>
      <w:r w:rsidRPr="00422D49">
        <w:rPr>
          <w:lang w:eastAsia="ja-JP"/>
        </w:rPr>
        <w:t xml:space="preserve"> to export a consignment of 56,</w:t>
      </w:r>
      <w:r w:rsidR="007A5762" w:rsidRPr="00422D49">
        <w:rPr>
          <w:lang w:eastAsia="ja-JP"/>
        </w:rPr>
        <w:t>000 </w:t>
      </w:r>
      <w:r w:rsidRPr="00422D49">
        <w:rPr>
          <w:lang w:eastAsia="ja-JP"/>
        </w:rPr>
        <w:t xml:space="preserve">live sheep </w:t>
      </w:r>
      <w:r w:rsidR="00B05665" w:rsidRPr="00422D49">
        <w:rPr>
          <w:lang w:eastAsia="ja-JP"/>
        </w:rPr>
        <w:t xml:space="preserve">and 420 cattle </w:t>
      </w:r>
      <w:r w:rsidRPr="00422D49">
        <w:rPr>
          <w:lang w:eastAsia="ja-JP"/>
        </w:rPr>
        <w:t xml:space="preserve">to Kuwait. The shipment </w:t>
      </w:r>
      <w:r w:rsidR="0055772E">
        <w:rPr>
          <w:lang w:eastAsia="ja-JP"/>
        </w:rPr>
        <w:t>was</w:t>
      </w:r>
      <w:r>
        <w:rPr>
          <w:lang w:eastAsia="ja-JP"/>
        </w:rPr>
        <w:t xml:space="preserve"> </w:t>
      </w:r>
      <w:r w:rsidRPr="0055772E">
        <w:rPr>
          <w:lang w:eastAsia="ja-JP"/>
        </w:rPr>
        <w:t xml:space="preserve">delayed </w:t>
      </w:r>
      <w:r w:rsidR="0055772E" w:rsidRPr="00770FD8">
        <w:rPr>
          <w:lang w:eastAsia="ja-JP"/>
        </w:rPr>
        <w:t xml:space="preserve">after </w:t>
      </w:r>
      <w:r w:rsidRPr="0055772E">
        <w:rPr>
          <w:lang w:eastAsia="ja-JP"/>
        </w:rPr>
        <w:t xml:space="preserve">crew </w:t>
      </w:r>
      <w:r w:rsidR="0055772E" w:rsidRPr="00770FD8">
        <w:rPr>
          <w:lang w:eastAsia="ja-JP"/>
        </w:rPr>
        <w:t xml:space="preserve">members </w:t>
      </w:r>
      <w:r w:rsidR="0055772E">
        <w:rPr>
          <w:lang w:eastAsia="ja-JP"/>
        </w:rPr>
        <w:t xml:space="preserve">had </w:t>
      </w:r>
      <w:r w:rsidRPr="0055772E">
        <w:rPr>
          <w:lang w:eastAsia="ja-JP"/>
        </w:rPr>
        <w:t>test</w:t>
      </w:r>
      <w:r w:rsidR="0055772E" w:rsidRPr="00770FD8">
        <w:rPr>
          <w:lang w:eastAsia="ja-JP"/>
        </w:rPr>
        <w:t>ed</w:t>
      </w:r>
      <w:r w:rsidRPr="0055772E">
        <w:rPr>
          <w:lang w:eastAsia="ja-JP"/>
        </w:rPr>
        <w:t xml:space="preserve"> positive </w:t>
      </w:r>
      <w:r w:rsidR="0055772E" w:rsidRPr="00770FD8">
        <w:rPr>
          <w:lang w:eastAsia="ja-JP"/>
        </w:rPr>
        <w:t>for</w:t>
      </w:r>
      <w:r w:rsidRPr="0055772E">
        <w:rPr>
          <w:lang w:eastAsia="ja-JP"/>
        </w:rPr>
        <w:t xml:space="preserve"> COVID-19</w:t>
      </w:r>
      <w:r w:rsidR="0055772E">
        <w:rPr>
          <w:lang w:eastAsia="ja-JP"/>
        </w:rPr>
        <w:t>. As</w:t>
      </w:r>
      <w:r w:rsidR="00A52A09">
        <w:rPr>
          <w:lang w:eastAsia="ja-JP"/>
        </w:rPr>
        <w:t> </w:t>
      </w:r>
      <w:r w:rsidR="0055772E">
        <w:rPr>
          <w:lang w:eastAsia="ja-JP"/>
        </w:rPr>
        <w:t>a result,</w:t>
      </w:r>
      <w:r w:rsidRPr="0055772E">
        <w:rPr>
          <w:lang w:eastAsia="ja-JP"/>
        </w:rPr>
        <w:t xml:space="preserve"> </w:t>
      </w:r>
      <w:r w:rsidR="0055772E">
        <w:rPr>
          <w:lang w:eastAsia="ja-JP"/>
        </w:rPr>
        <w:t xml:space="preserve">the </w:t>
      </w:r>
      <w:r w:rsidR="0055772E" w:rsidRPr="00B76CF7">
        <w:rPr>
          <w:lang w:eastAsia="ja-JP"/>
        </w:rPr>
        <w:t xml:space="preserve">vessel </w:t>
      </w:r>
      <w:r w:rsidR="0055772E">
        <w:rPr>
          <w:lang w:eastAsia="ja-JP"/>
        </w:rPr>
        <w:t xml:space="preserve">was </w:t>
      </w:r>
      <w:r w:rsidRPr="0055772E">
        <w:rPr>
          <w:lang w:eastAsia="ja-JP"/>
        </w:rPr>
        <w:t>quarantine</w:t>
      </w:r>
      <w:r w:rsidR="003407A2">
        <w:rPr>
          <w:lang w:eastAsia="ja-JP"/>
        </w:rPr>
        <w:t>d</w:t>
      </w:r>
      <w:r w:rsidRPr="0055772E">
        <w:rPr>
          <w:lang w:eastAsia="ja-JP"/>
        </w:rPr>
        <w:t>.</w:t>
      </w:r>
    </w:p>
    <w:p w14:paraId="5B09ED7B" w14:textId="0779BB27" w:rsidR="00B64FD3" w:rsidRDefault="00B64FD3" w:rsidP="00C60271">
      <w:pPr>
        <w:pStyle w:val="BoxText"/>
        <w:rPr>
          <w:b/>
          <w:lang w:eastAsia="ja-JP"/>
        </w:rPr>
      </w:pPr>
      <w:r w:rsidRPr="009B4372">
        <w:rPr>
          <w:lang w:eastAsia="ja-JP"/>
        </w:rPr>
        <w:t xml:space="preserve">On 2 June 2020 the </w:t>
      </w:r>
      <w:r>
        <w:rPr>
          <w:lang w:eastAsia="ja-JP"/>
        </w:rPr>
        <w:t>department</w:t>
      </w:r>
      <w:r w:rsidRPr="009B4372">
        <w:rPr>
          <w:lang w:eastAsia="ja-JP"/>
        </w:rPr>
        <w:t xml:space="preserve"> </w:t>
      </w:r>
      <w:r>
        <w:rPr>
          <w:lang w:eastAsia="ja-JP"/>
        </w:rPr>
        <w:t>refused to grant</w:t>
      </w:r>
      <w:r w:rsidRPr="009B4372">
        <w:rPr>
          <w:lang w:eastAsia="ja-JP"/>
        </w:rPr>
        <w:t xml:space="preserve"> the exemption</w:t>
      </w:r>
      <w:r>
        <w:rPr>
          <w:lang w:eastAsia="ja-JP"/>
        </w:rPr>
        <w:t xml:space="preserve"> </w:t>
      </w:r>
      <w:r w:rsidRPr="004167C5">
        <w:rPr>
          <w:lang w:eastAsia="ja-JP"/>
        </w:rPr>
        <w:t xml:space="preserve">pursuant to </w:t>
      </w:r>
      <w:r w:rsidR="007019EF" w:rsidRPr="004167C5">
        <w:rPr>
          <w:lang w:eastAsia="ja-JP"/>
        </w:rPr>
        <w:t>s</w:t>
      </w:r>
      <w:r w:rsidR="00692B1A">
        <w:rPr>
          <w:lang w:eastAsia="ja-JP"/>
        </w:rPr>
        <w:t>ection</w:t>
      </w:r>
      <w:r w:rsidR="007019EF">
        <w:rPr>
          <w:lang w:eastAsia="ja-JP"/>
        </w:rPr>
        <w:t> </w:t>
      </w:r>
      <w:r w:rsidRPr="004167C5">
        <w:rPr>
          <w:lang w:eastAsia="ja-JP"/>
        </w:rPr>
        <w:t>12(1) of the Order</w:t>
      </w:r>
      <w:r w:rsidRPr="009B4372">
        <w:rPr>
          <w:lang w:eastAsia="ja-JP"/>
        </w:rPr>
        <w:t>.</w:t>
      </w:r>
      <w:r w:rsidR="002E07E4">
        <w:rPr>
          <w:lang w:eastAsia="ja-JP"/>
        </w:rPr>
        <w:t xml:space="preserve"> </w:t>
      </w:r>
      <w:r>
        <w:rPr>
          <w:lang w:eastAsia="ja-JP"/>
        </w:rPr>
        <w:t>The decision was based on several considerations</w:t>
      </w:r>
      <w:r w:rsidR="007019EF">
        <w:rPr>
          <w:lang w:eastAsia="ja-JP"/>
        </w:rPr>
        <w:t>,</w:t>
      </w:r>
      <w:r>
        <w:rPr>
          <w:lang w:eastAsia="ja-JP"/>
        </w:rPr>
        <w:t xml:space="preserve"> including:</w:t>
      </w:r>
    </w:p>
    <w:p w14:paraId="28555711" w14:textId="0C02343B" w:rsidR="00155A7E" w:rsidRDefault="00B05665" w:rsidP="00C60271">
      <w:pPr>
        <w:pStyle w:val="BoxTextBullet"/>
        <w:rPr>
          <w:lang w:eastAsia="ja-JP"/>
        </w:rPr>
      </w:pPr>
      <w:r>
        <w:rPr>
          <w:lang w:eastAsia="ja-JP"/>
        </w:rPr>
        <w:t>e</w:t>
      </w:r>
      <w:r w:rsidRPr="00155A7E">
        <w:rPr>
          <w:lang w:eastAsia="ja-JP"/>
        </w:rPr>
        <w:t xml:space="preserve">xceptional </w:t>
      </w:r>
      <w:r w:rsidR="00155A7E" w:rsidRPr="00155A7E">
        <w:rPr>
          <w:lang w:eastAsia="ja-JP"/>
        </w:rPr>
        <w:t>circumstances (</w:t>
      </w:r>
      <w:r w:rsidRPr="00155A7E">
        <w:rPr>
          <w:lang w:eastAsia="ja-JP"/>
        </w:rPr>
        <w:t>COVID</w:t>
      </w:r>
      <w:r>
        <w:rPr>
          <w:lang w:eastAsia="ja-JP"/>
        </w:rPr>
        <w:t>-</w:t>
      </w:r>
      <w:r w:rsidR="00155A7E" w:rsidRPr="00155A7E">
        <w:rPr>
          <w:lang w:eastAsia="ja-JP"/>
        </w:rPr>
        <w:t>19 pandemic)</w:t>
      </w:r>
    </w:p>
    <w:p w14:paraId="26E87229" w14:textId="56AD7ED7" w:rsidR="00B64FD3" w:rsidRDefault="00B64FD3" w:rsidP="00C60271">
      <w:pPr>
        <w:pStyle w:val="BoxTextBullet"/>
        <w:rPr>
          <w:lang w:eastAsia="ja-JP"/>
        </w:rPr>
      </w:pPr>
      <w:r>
        <w:rPr>
          <w:lang w:eastAsia="ja-JP"/>
        </w:rPr>
        <w:t>B</w:t>
      </w:r>
      <w:r w:rsidR="004E3D02">
        <w:rPr>
          <w:lang w:eastAsia="ja-JP"/>
        </w:rPr>
        <w:t xml:space="preserve">ureau of </w:t>
      </w:r>
      <w:r w:rsidR="004E3D02" w:rsidRPr="004E3D02">
        <w:rPr>
          <w:lang w:eastAsia="ja-JP"/>
        </w:rPr>
        <w:t xml:space="preserve">Meteorology </w:t>
      </w:r>
      <w:r>
        <w:rPr>
          <w:lang w:eastAsia="ja-JP"/>
        </w:rPr>
        <w:t xml:space="preserve">weather data and Animal Welfare Branch analysis of likely </w:t>
      </w:r>
      <w:r w:rsidR="00CB79F9">
        <w:rPr>
          <w:lang w:eastAsia="ja-JP"/>
        </w:rPr>
        <w:t>w</w:t>
      </w:r>
      <w:r w:rsidR="001C3EB9">
        <w:rPr>
          <w:lang w:eastAsia="ja-JP"/>
        </w:rPr>
        <w:t xml:space="preserve">et </w:t>
      </w:r>
      <w:r w:rsidR="00CB79F9">
        <w:rPr>
          <w:lang w:eastAsia="ja-JP"/>
        </w:rPr>
        <w:t>b</w:t>
      </w:r>
      <w:r w:rsidR="001C3EB9">
        <w:rPr>
          <w:lang w:eastAsia="ja-JP"/>
        </w:rPr>
        <w:t xml:space="preserve">ulb </w:t>
      </w:r>
      <w:r w:rsidR="00CB79F9">
        <w:rPr>
          <w:lang w:eastAsia="ja-JP"/>
        </w:rPr>
        <w:t>t</w:t>
      </w:r>
      <w:r w:rsidR="001C3EB9">
        <w:rPr>
          <w:lang w:eastAsia="ja-JP"/>
        </w:rPr>
        <w:t>emperature</w:t>
      </w:r>
      <w:r>
        <w:rPr>
          <w:lang w:eastAsia="ja-JP"/>
        </w:rPr>
        <w:t>s</w:t>
      </w:r>
      <w:r w:rsidR="00590531">
        <w:rPr>
          <w:lang w:eastAsia="ja-JP"/>
        </w:rPr>
        <w:t xml:space="preserve"> (WBTs)</w:t>
      </w:r>
      <w:r>
        <w:rPr>
          <w:lang w:eastAsia="ja-JP"/>
        </w:rPr>
        <w:t xml:space="preserve"> indicating significant risk of heat stress</w:t>
      </w:r>
    </w:p>
    <w:p w14:paraId="3E7046A4" w14:textId="0B559CFC" w:rsidR="00B64FD3" w:rsidRDefault="001C3EB9" w:rsidP="00D10975">
      <w:pPr>
        <w:pStyle w:val="BoxTextBullet"/>
        <w:rPr>
          <w:lang w:eastAsia="ja-JP"/>
        </w:rPr>
      </w:pPr>
      <w:r>
        <w:rPr>
          <w:lang w:eastAsia="ja-JP"/>
        </w:rPr>
        <w:t xml:space="preserve">adequacy of </w:t>
      </w:r>
      <w:r w:rsidR="00892294">
        <w:rPr>
          <w:lang w:eastAsia="ja-JP"/>
        </w:rPr>
        <w:t>e</w:t>
      </w:r>
      <w:r w:rsidR="002E07E4">
        <w:rPr>
          <w:lang w:eastAsia="ja-JP"/>
        </w:rPr>
        <w:t>xporter’s</w:t>
      </w:r>
      <w:r>
        <w:rPr>
          <w:lang w:eastAsia="ja-JP"/>
        </w:rPr>
        <w:t xml:space="preserve"> </w:t>
      </w:r>
      <w:r w:rsidR="007E1E5B">
        <w:rPr>
          <w:lang w:eastAsia="ja-JP"/>
        </w:rPr>
        <w:t>a</w:t>
      </w:r>
      <w:r w:rsidR="004E3D02">
        <w:rPr>
          <w:lang w:eastAsia="ja-JP"/>
        </w:rPr>
        <w:t xml:space="preserve">nimal </w:t>
      </w:r>
      <w:r w:rsidR="007E1E5B">
        <w:rPr>
          <w:lang w:eastAsia="ja-JP"/>
        </w:rPr>
        <w:t>w</w:t>
      </w:r>
      <w:r w:rsidR="004E3D02">
        <w:rPr>
          <w:lang w:eastAsia="ja-JP"/>
        </w:rPr>
        <w:t xml:space="preserve">elfare </w:t>
      </w:r>
      <w:r w:rsidR="007E1E5B">
        <w:rPr>
          <w:lang w:eastAsia="ja-JP"/>
        </w:rPr>
        <w:t>m</w:t>
      </w:r>
      <w:r w:rsidR="00B64FD3">
        <w:rPr>
          <w:lang w:eastAsia="ja-JP"/>
        </w:rPr>
        <w:t xml:space="preserve">anagement </w:t>
      </w:r>
      <w:r w:rsidR="00A52A09">
        <w:rPr>
          <w:lang w:eastAsia="ja-JP"/>
        </w:rPr>
        <w:t>p</w:t>
      </w:r>
      <w:r w:rsidR="00B64FD3">
        <w:rPr>
          <w:lang w:eastAsia="ja-JP"/>
        </w:rPr>
        <w:t>lan</w:t>
      </w:r>
    </w:p>
    <w:p w14:paraId="7452E0CF" w14:textId="67CBC731" w:rsidR="00B64FD3" w:rsidRDefault="007E1E5B" w:rsidP="00C60271">
      <w:pPr>
        <w:pStyle w:val="BoxTextBullet"/>
        <w:rPr>
          <w:lang w:eastAsia="ja-JP"/>
        </w:rPr>
      </w:pPr>
      <w:r>
        <w:rPr>
          <w:lang w:eastAsia="ja-JP"/>
        </w:rPr>
        <w:t>p</w:t>
      </w:r>
      <w:r w:rsidR="00B64FD3">
        <w:rPr>
          <w:lang w:eastAsia="ja-JP"/>
        </w:rPr>
        <w:t>ast performance of exporter</w:t>
      </w:r>
    </w:p>
    <w:p w14:paraId="2A87603C" w14:textId="0FA59465" w:rsidR="00B64FD3" w:rsidRDefault="007E1E5B" w:rsidP="00C60271">
      <w:pPr>
        <w:pStyle w:val="BoxTextBullet"/>
        <w:rPr>
          <w:lang w:eastAsia="ja-JP"/>
        </w:rPr>
      </w:pPr>
      <w:r>
        <w:rPr>
          <w:lang w:eastAsia="ja-JP"/>
        </w:rPr>
        <w:t>p</w:t>
      </w:r>
      <w:r w:rsidR="00B64FD3">
        <w:rPr>
          <w:lang w:eastAsia="ja-JP"/>
        </w:rPr>
        <w:t>ast performance of proposed vessel</w:t>
      </w:r>
      <w:r w:rsidR="007019EF">
        <w:rPr>
          <w:lang w:eastAsia="ja-JP"/>
        </w:rPr>
        <w:t>.</w:t>
      </w:r>
    </w:p>
    <w:p w14:paraId="2C302F46" w14:textId="75071386" w:rsidR="000975F5" w:rsidRDefault="00B64FD3" w:rsidP="00C60271">
      <w:pPr>
        <w:pStyle w:val="BoxText"/>
        <w:rPr>
          <w:lang w:eastAsia="ja-JP"/>
        </w:rPr>
      </w:pPr>
      <w:r w:rsidRPr="009B4372">
        <w:rPr>
          <w:lang w:eastAsia="ja-JP"/>
        </w:rPr>
        <w:t xml:space="preserve">On 8 June 2020 the </w:t>
      </w:r>
      <w:r>
        <w:rPr>
          <w:lang w:eastAsia="ja-JP"/>
        </w:rPr>
        <w:t>d</w:t>
      </w:r>
      <w:r w:rsidRPr="009B4372">
        <w:rPr>
          <w:lang w:eastAsia="ja-JP"/>
        </w:rPr>
        <w:t xml:space="preserve">epartment received a </w:t>
      </w:r>
      <w:r>
        <w:rPr>
          <w:lang w:eastAsia="ja-JP"/>
        </w:rPr>
        <w:t>second</w:t>
      </w:r>
      <w:r w:rsidRPr="009B4372">
        <w:rPr>
          <w:lang w:eastAsia="ja-JP"/>
        </w:rPr>
        <w:t xml:space="preserve"> application for exemption</w:t>
      </w:r>
      <w:r>
        <w:rPr>
          <w:lang w:eastAsia="ja-JP"/>
        </w:rPr>
        <w:t>.</w:t>
      </w:r>
      <w:r w:rsidRPr="009B4372">
        <w:rPr>
          <w:lang w:eastAsia="ja-JP"/>
        </w:rPr>
        <w:t xml:space="preserve"> The new application was substantially different from the previous </w:t>
      </w:r>
      <w:r>
        <w:rPr>
          <w:lang w:eastAsia="ja-JP"/>
        </w:rPr>
        <w:t xml:space="preserve">one </w:t>
      </w:r>
      <w:r w:rsidRPr="009B4372">
        <w:rPr>
          <w:lang w:eastAsia="ja-JP"/>
        </w:rPr>
        <w:t xml:space="preserve">in the degree of specificity, the number and type of livestock to be exported and the </w:t>
      </w:r>
      <w:r>
        <w:rPr>
          <w:lang w:eastAsia="ja-JP"/>
        </w:rPr>
        <w:t xml:space="preserve">proposed </w:t>
      </w:r>
      <w:r w:rsidRPr="009B4372">
        <w:rPr>
          <w:lang w:eastAsia="ja-JP"/>
        </w:rPr>
        <w:t>mitigation measures.</w:t>
      </w:r>
    </w:p>
    <w:p w14:paraId="4F9248A0" w14:textId="0BCDE551" w:rsidR="000975F5" w:rsidRDefault="003320D5" w:rsidP="00C60271">
      <w:pPr>
        <w:pStyle w:val="BoxText"/>
        <w:rPr>
          <w:lang w:eastAsia="ja-JP"/>
        </w:rPr>
      </w:pPr>
      <w:r>
        <w:rPr>
          <w:lang w:eastAsia="ja-JP"/>
        </w:rPr>
        <w:t>The second</w:t>
      </w:r>
      <w:r w:rsidR="00B64FD3" w:rsidRPr="009B4372">
        <w:rPr>
          <w:lang w:eastAsia="ja-JP"/>
        </w:rPr>
        <w:t xml:space="preserve"> application</w:t>
      </w:r>
      <w:r w:rsidR="00CD1EA5">
        <w:rPr>
          <w:lang w:eastAsia="ja-JP"/>
        </w:rPr>
        <w:t xml:space="preserve"> </w:t>
      </w:r>
      <w:r>
        <w:rPr>
          <w:lang w:eastAsia="ja-JP"/>
        </w:rPr>
        <w:t>included</w:t>
      </w:r>
      <w:r w:rsidRPr="009B4372">
        <w:rPr>
          <w:lang w:eastAsia="ja-JP"/>
        </w:rPr>
        <w:t xml:space="preserve"> </w:t>
      </w:r>
      <w:r w:rsidR="00B64FD3" w:rsidRPr="009B4372">
        <w:rPr>
          <w:lang w:eastAsia="ja-JP"/>
        </w:rPr>
        <w:t>a</w:t>
      </w:r>
      <w:r w:rsidR="00B64FD3">
        <w:rPr>
          <w:lang w:eastAsia="ja-JP"/>
        </w:rPr>
        <w:t xml:space="preserve">n </w:t>
      </w:r>
      <w:r w:rsidR="004E3D02">
        <w:rPr>
          <w:lang w:eastAsia="ja-JP"/>
        </w:rPr>
        <w:t>updated</w:t>
      </w:r>
      <w:r w:rsidR="00B64FD3" w:rsidRPr="009B4372">
        <w:rPr>
          <w:lang w:eastAsia="ja-JP"/>
        </w:rPr>
        <w:t xml:space="preserve"> </w:t>
      </w:r>
      <w:r w:rsidR="007E1E5B">
        <w:rPr>
          <w:lang w:eastAsia="ja-JP"/>
        </w:rPr>
        <w:t>m</w:t>
      </w:r>
      <w:r w:rsidR="00B64FD3" w:rsidRPr="009B4372">
        <w:rPr>
          <w:lang w:eastAsia="ja-JP"/>
        </w:rPr>
        <w:t xml:space="preserve">anagement </w:t>
      </w:r>
      <w:r w:rsidR="007E1E5B">
        <w:rPr>
          <w:lang w:eastAsia="ja-JP"/>
        </w:rPr>
        <w:t>p</w:t>
      </w:r>
      <w:r w:rsidR="00B64FD3" w:rsidRPr="009B4372">
        <w:rPr>
          <w:lang w:eastAsia="ja-JP"/>
        </w:rPr>
        <w:t xml:space="preserve">lan for the proposed voyage, and expert opinions in relation to meteorological data and impact on animal welfare. </w:t>
      </w:r>
      <w:r>
        <w:rPr>
          <w:lang w:eastAsia="ja-JP"/>
        </w:rPr>
        <w:t>The applicant</w:t>
      </w:r>
      <w:r w:rsidRPr="009B4372">
        <w:rPr>
          <w:lang w:eastAsia="ja-JP"/>
        </w:rPr>
        <w:t xml:space="preserve"> </w:t>
      </w:r>
      <w:r w:rsidR="00B64FD3">
        <w:rPr>
          <w:lang w:eastAsia="ja-JP"/>
        </w:rPr>
        <w:t xml:space="preserve">also argued </w:t>
      </w:r>
      <w:r w:rsidR="007E1E5B">
        <w:rPr>
          <w:lang w:eastAsia="ja-JP"/>
        </w:rPr>
        <w:t>that refus</w:t>
      </w:r>
      <w:r>
        <w:rPr>
          <w:lang w:eastAsia="ja-JP"/>
        </w:rPr>
        <w:t>al</w:t>
      </w:r>
      <w:r w:rsidR="007E1E5B">
        <w:rPr>
          <w:lang w:eastAsia="ja-JP"/>
        </w:rPr>
        <w:t xml:space="preserve"> would result in </w:t>
      </w:r>
      <w:r w:rsidR="00B64FD3">
        <w:rPr>
          <w:lang w:eastAsia="ja-JP"/>
        </w:rPr>
        <w:t xml:space="preserve">significant financial and ongoing trade impacts </w:t>
      </w:r>
      <w:r w:rsidR="007E1E5B">
        <w:rPr>
          <w:lang w:eastAsia="ja-JP"/>
        </w:rPr>
        <w:t>and would affect</w:t>
      </w:r>
      <w:r w:rsidR="00B64FD3">
        <w:rPr>
          <w:lang w:eastAsia="ja-JP"/>
        </w:rPr>
        <w:t xml:space="preserve"> Kuwaiti food security</w:t>
      </w:r>
      <w:r w:rsidR="00B64FD3" w:rsidRPr="009B4372">
        <w:rPr>
          <w:lang w:eastAsia="ja-JP"/>
        </w:rPr>
        <w:t>.</w:t>
      </w:r>
    </w:p>
    <w:p w14:paraId="47E01F8E" w14:textId="25773ED5" w:rsidR="00B64FD3" w:rsidRPr="009B4372" w:rsidRDefault="00B64FD3" w:rsidP="00C60271">
      <w:pPr>
        <w:pStyle w:val="BoxText"/>
        <w:rPr>
          <w:lang w:eastAsia="ja-JP"/>
        </w:rPr>
      </w:pPr>
      <w:r>
        <w:rPr>
          <w:lang w:eastAsia="ja-JP"/>
        </w:rPr>
        <w:t>On 13 June the department granted an exemption from s</w:t>
      </w:r>
      <w:r w:rsidR="00813817">
        <w:rPr>
          <w:lang w:eastAsia="ja-JP"/>
        </w:rPr>
        <w:t>ection</w:t>
      </w:r>
      <w:r w:rsidRPr="00D10975">
        <w:t xml:space="preserve"> </w:t>
      </w:r>
      <w:r>
        <w:rPr>
          <w:lang w:eastAsia="ja-JP"/>
        </w:rPr>
        <w:t>8 of the Order, subject to conditions</w:t>
      </w:r>
      <w:r w:rsidR="002E07E4">
        <w:rPr>
          <w:lang w:eastAsia="ja-JP"/>
        </w:rPr>
        <w:t xml:space="preserve">. </w:t>
      </w:r>
      <w:r w:rsidRPr="00F2757F">
        <w:rPr>
          <w:lang w:eastAsia="ja-JP"/>
        </w:rPr>
        <w:t>To comply with the conditions, 23,000 sheep were removed from the consignment, resulting in 33,</w:t>
      </w:r>
      <w:r w:rsidR="002012DC">
        <w:rPr>
          <w:lang w:eastAsia="ja-JP"/>
        </w:rPr>
        <w:t>341 </w:t>
      </w:r>
      <w:r>
        <w:rPr>
          <w:lang w:eastAsia="ja-JP"/>
        </w:rPr>
        <w:t xml:space="preserve">sheep </w:t>
      </w:r>
      <w:r w:rsidRPr="00F2757F">
        <w:rPr>
          <w:lang w:eastAsia="ja-JP"/>
        </w:rPr>
        <w:t>being exported to Kuwait.</w:t>
      </w:r>
      <w:r>
        <w:rPr>
          <w:lang w:eastAsia="ja-JP"/>
        </w:rPr>
        <w:t xml:space="preserve"> The </w:t>
      </w:r>
      <w:r w:rsidR="000E2F2E">
        <w:rPr>
          <w:lang w:eastAsia="ja-JP"/>
        </w:rPr>
        <w:t xml:space="preserve">MV </w:t>
      </w:r>
      <w:r w:rsidRPr="000E2F2E">
        <w:rPr>
          <w:rStyle w:val="Emphasis"/>
        </w:rPr>
        <w:t>Al Kuwait</w:t>
      </w:r>
      <w:r>
        <w:rPr>
          <w:lang w:eastAsia="ja-JP"/>
        </w:rPr>
        <w:t xml:space="preserve"> left Fremantle Port on 17 June </w:t>
      </w:r>
      <w:r w:rsidR="00F1337A">
        <w:rPr>
          <w:lang w:eastAsia="ja-JP"/>
        </w:rPr>
        <w:t xml:space="preserve">2020 </w:t>
      </w:r>
      <w:r>
        <w:rPr>
          <w:lang w:eastAsia="ja-JP"/>
        </w:rPr>
        <w:t>and discharged in Kuwait on 1 July.</w:t>
      </w:r>
    </w:p>
    <w:p w14:paraId="69D34E88" w14:textId="5E6989DC" w:rsidR="00CF1F4E" w:rsidRDefault="00B64FD3" w:rsidP="00C60271">
      <w:pPr>
        <w:pStyle w:val="BoxText"/>
        <w:rPr>
          <w:lang w:eastAsia="ja-JP"/>
        </w:rPr>
      </w:pPr>
      <w:r w:rsidRPr="00B830F4">
        <w:rPr>
          <w:lang w:eastAsia="ja-JP"/>
        </w:rPr>
        <w:t xml:space="preserve">The </w:t>
      </w:r>
      <w:r>
        <w:rPr>
          <w:lang w:eastAsia="ja-JP"/>
        </w:rPr>
        <w:t xml:space="preserve">additional </w:t>
      </w:r>
      <w:r w:rsidRPr="00B830F4">
        <w:rPr>
          <w:lang w:eastAsia="ja-JP"/>
        </w:rPr>
        <w:t>voyage report</w:t>
      </w:r>
      <w:r>
        <w:rPr>
          <w:lang w:eastAsia="ja-JP"/>
        </w:rPr>
        <w:t xml:space="preserve"> indicated a mortality rate of 0.08% (28 sheep), which was below the 1</w:t>
      </w:r>
      <w:r w:rsidR="002012DC">
        <w:rPr>
          <w:lang w:eastAsia="ja-JP"/>
        </w:rPr>
        <w:t>% </w:t>
      </w:r>
      <w:r>
        <w:rPr>
          <w:lang w:eastAsia="ja-JP"/>
        </w:rPr>
        <w:t>(333) reportable rate. A 155 negative head count discrepancy was indicated for the voyage. Thirty</w:t>
      </w:r>
      <w:r w:rsidR="002012DC">
        <w:rPr>
          <w:lang w:eastAsia="ja-JP"/>
        </w:rPr>
        <w:t>-</w:t>
      </w:r>
      <w:r>
        <w:rPr>
          <w:lang w:eastAsia="ja-JP"/>
        </w:rPr>
        <w:t>four Kestr</w:t>
      </w:r>
      <w:r w:rsidR="00D4504E">
        <w:rPr>
          <w:lang w:eastAsia="ja-JP"/>
        </w:rPr>
        <w:t>e</w:t>
      </w:r>
      <w:r>
        <w:rPr>
          <w:lang w:eastAsia="ja-JP"/>
        </w:rPr>
        <w:t xml:space="preserve">l </w:t>
      </w:r>
      <w:r w:rsidRPr="00F1337A">
        <w:rPr>
          <w:lang w:eastAsia="ja-JP"/>
        </w:rPr>
        <w:t xml:space="preserve">environmental data loggers recorded temperature and humidity levels every </w:t>
      </w:r>
      <w:r w:rsidR="0077328F" w:rsidRPr="00F1337A">
        <w:rPr>
          <w:lang w:eastAsia="ja-JP"/>
        </w:rPr>
        <w:t>20</w:t>
      </w:r>
      <w:r w:rsidR="0077328F">
        <w:rPr>
          <w:lang w:eastAsia="ja-JP"/>
        </w:rPr>
        <w:t> </w:t>
      </w:r>
      <w:r w:rsidRPr="00F1337A">
        <w:rPr>
          <w:lang w:eastAsia="ja-JP"/>
        </w:rPr>
        <w:t>minutes throughout the voyage.</w:t>
      </w:r>
    </w:p>
    <w:p w14:paraId="0CC62C79" w14:textId="6A789BF5" w:rsidR="00B64FD3" w:rsidRDefault="0055772E" w:rsidP="00C60271">
      <w:pPr>
        <w:pStyle w:val="BoxText"/>
      </w:pPr>
      <w:r w:rsidRPr="009D7774">
        <w:rPr>
          <w:lang w:eastAsia="ja-JP"/>
        </w:rPr>
        <w:t>When the vessel entered the Gulf of Oman around 29 June, t</w:t>
      </w:r>
      <w:r w:rsidR="00B64FD3" w:rsidRPr="009D7774">
        <w:rPr>
          <w:lang w:eastAsia="ja-JP"/>
        </w:rPr>
        <w:t>he</w:t>
      </w:r>
      <w:r w:rsidR="00D4504E" w:rsidRPr="009D7774">
        <w:rPr>
          <w:lang w:eastAsia="ja-JP"/>
        </w:rPr>
        <w:t xml:space="preserve"> data</w:t>
      </w:r>
      <w:r w:rsidR="00B64FD3" w:rsidRPr="009D7774">
        <w:rPr>
          <w:lang w:eastAsia="ja-JP"/>
        </w:rPr>
        <w:t xml:space="preserve"> loggers indicated </w:t>
      </w:r>
      <w:r w:rsidRPr="009D7774">
        <w:rPr>
          <w:lang w:eastAsia="ja-JP"/>
        </w:rPr>
        <w:t xml:space="preserve">that </w:t>
      </w:r>
      <w:r w:rsidR="00B64FD3" w:rsidRPr="009D7774">
        <w:rPr>
          <w:lang w:eastAsia="ja-JP"/>
        </w:rPr>
        <w:t xml:space="preserve">WBT’s </w:t>
      </w:r>
      <w:r w:rsidRPr="009D7774">
        <w:rPr>
          <w:lang w:eastAsia="ja-JP"/>
        </w:rPr>
        <w:t>had</w:t>
      </w:r>
      <w:r w:rsidR="00B64FD3" w:rsidRPr="009D7774">
        <w:rPr>
          <w:lang w:eastAsia="ja-JP"/>
        </w:rPr>
        <w:t xml:space="preserve"> exceed</w:t>
      </w:r>
      <w:r w:rsidRPr="009D7774">
        <w:rPr>
          <w:lang w:eastAsia="ja-JP"/>
        </w:rPr>
        <w:t>ed</w:t>
      </w:r>
      <w:r w:rsidR="00B64FD3" w:rsidRPr="009D7774">
        <w:rPr>
          <w:lang w:eastAsia="ja-JP"/>
        </w:rPr>
        <w:t xml:space="preserve"> 29ᵒC. From this point on, more than 80% (26,670) sheep had a heat stress score of </w:t>
      </w:r>
      <w:r w:rsidR="0077328F" w:rsidRPr="009D7774">
        <w:rPr>
          <w:lang w:eastAsia="ja-JP"/>
        </w:rPr>
        <w:t>2 </w:t>
      </w:r>
      <w:r w:rsidR="00B64FD3" w:rsidRPr="009D7774">
        <w:rPr>
          <w:lang w:eastAsia="ja-JP"/>
        </w:rPr>
        <w:t xml:space="preserve">(discomfort) or more. </w:t>
      </w:r>
      <w:r w:rsidR="00F1337A" w:rsidRPr="009D7774">
        <w:rPr>
          <w:lang w:eastAsia="ja-JP"/>
        </w:rPr>
        <w:t>In</w:t>
      </w:r>
      <w:r w:rsidR="00B64FD3" w:rsidRPr="009D7774">
        <w:rPr>
          <w:lang w:eastAsia="ja-JP"/>
        </w:rPr>
        <w:t xml:space="preserve"> the Strait of Hormuz, up to 12% (4</w:t>
      </w:r>
      <w:r w:rsidR="002012DC" w:rsidRPr="009D7774">
        <w:rPr>
          <w:lang w:eastAsia="ja-JP"/>
        </w:rPr>
        <w:t>,</w:t>
      </w:r>
      <w:r w:rsidR="00B64FD3" w:rsidRPr="009D7774">
        <w:rPr>
          <w:lang w:eastAsia="ja-JP"/>
        </w:rPr>
        <w:t>000) sheep had a score of 3 (extreme discomfort) and 3</w:t>
      </w:r>
      <w:r w:rsidR="002012DC" w:rsidRPr="009D7774">
        <w:rPr>
          <w:lang w:eastAsia="ja-JP"/>
        </w:rPr>
        <w:t>% </w:t>
      </w:r>
      <w:r w:rsidR="00B64FD3" w:rsidRPr="009D7774">
        <w:rPr>
          <w:lang w:eastAsia="ja-JP"/>
        </w:rPr>
        <w:t>(1</w:t>
      </w:r>
      <w:r w:rsidR="002012DC" w:rsidRPr="009D7774">
        <w:rPr>
          <w:lang w:eastAsia="ja-JP"/>
        </w:rPr>
        <w:t>,</w:t>
      </w:r>
      <w:r w:rsidR="00B64FD3" w:rsidRPr="009D7774">
        <w:rPr>
          <w:lang w:eastAsia="ja-JP"/>
        </w:rPr>
        <w:t xml:space="preserve">000) had a score of 4 (distressed). </w:t>
      </w:r>
      <w:r w:rsidR="00B64FD3" w:rsidRPr="009D7774">
        <w:t>The highest WBT recorded was 31.9ᵒC through the Strait of Hormuz on day 14 of the voyage</w:t>
      </w:r>
      <w:r w:rsidR="006D1FA2" w:rsidRPr="009D7774">
        <w:t xml:space="preserve"> (Department of Agriculture, Water and the Environment 2020</w:t>
      </w:r>
      <w:r w:rsidR="002012DC" w:rsidRPr="009D7774">
        <w:t>a</w:t>
      </w:r>
      <w:r w:rsidR="006D1FA2" w:rsidRPr="009D7774">
        <w:t>).</w:t>
      </w:r>
    </w:p>
    <w:p w14:paraId="58448052" w14:textId="32F11A76" w:rsidR="00A87E15" w:rsidRPr="00892294" w:rsidRDefault="00F1337A" w:rsidP="00B16937">
      <w:pPr>
        <w:pStyle w:val="BoxText"/>
      </w:pPr>
      <w:r>
        <w:t>T</w:t>
      </w:r>
      <w:r w:rsidR="00B64FD3">
        <w:t xml:space="preserve">he voyage recorded a low mortality rate, </w:t>
      </w:r>
      <w:r>
        <w:t xml:space="preserve">but </w:t>
      </w:r>
      <w:r w:rsidR="00B64FD3">
        <w:t>a significant number of sheep suffered from heat stress in the later stage.</w:t>
      </w:r>
    </w:p>
    <w:p w14:paraId="70131EFA" w14:textId="5C603EBC" w:rsidR="00D038CB" w:rsidRDefault="00D038CB" w:rsidP="008801E3">
      <w:r>
        <w:t xml:space="preserve">Under the </w:t>
      </w:r>
      <w:r w:rsidRPr="00AE5F23">
        <w:rPr>
          <w:i/>
        </w:rPr>
        <w:t xml:space="preserve">Australian </w:t>
      </w:r>
      <w:r w:rsidRPr="00F1337A">
        <w:rPr>
          <w:i/>
        </w:rPr>
        <w:t>Meat and Live-stock</w:t>
      </w:r>
      <w:r w:rsidR="00F1337A">
        <w:rPr>
          <w:i/>
        </w:rPr>
        <w:t xml:space="preserve"> Industry</w:t>
      </w:r>
      <w:r w:rsidRPr="00F1337A">
        <w:rPr>
          <w:i/>
        </w:rPr>
        <w:t xml:space="preserve"> Act 1997</w:t>
      </w:r>
      <w:r w:rsidRPr="00F1337A">
        <w:t xml:space="preserve">, the </w:t>
      </w:r>
      <w:r w:rsidR="00455311" w:rsidRPr="00455311">
        <w:t>secretary</w:t>
      </w:r>
      <w:r w:rsidR="004D0DC9">
        <w:t xml:space="preserve"> </w:t>
      </w:r>
      <w:r w:rsidR="00BF2D1E">
        <w:t xml:space="preserve">can delegate </w:t>
      </w:r>
      <w:r w:rsidR="008768F4">
        <w:t>their</w:t>
      </w:r>
      <w:r w:rsidR="00E40B9C">
        <w:t xml:space="preserve"> powers </w:t>
      </w:r>
      <w:r w:rsidR="00BF2D1E">
        <w:t>as appropriate within the department</w:t>
      </w:r>
      <w:r>
        <w:t xml:space="preserve">. </w:t>
      </w:r>
      <w:r w:rsidR="00E40B9C">
        <w:t>T</w:t>
      </w:r>
      <w:r>
        <w:t xml:space="preserve">he </w:t>
      </w:r>
      <w:r w:rsidR="00E40B9C">
        <w:t>s</w:t>
      </w:r>
      <w:r>
        <w:t xml:space="preserve">ecretary is accountable to government and </w:t>
      </w:r>
      <w:r>
        <w:lastRenderedPageBreak/>
        <w:t>parliament for a wide range of responsibilities</w:t>
      </w:r>
      <w:r w:rsidR="00077B94">
        <w:t>. I</w:t>
      </w:r>
      <w:r>
        <w:t>n the context of live</w:t>
      </w:r>
      <w:r w:rsidR="00BD7FC4">
        <w:t>stock</w:t>
      </w:r>
      <w:r>
        <w:t xml:space="preserve"> animal exports, this includes trade facilitation and regulation. </w:t>
      </w:r>
      <w:r w:rsidR="00077B94">
        <w:t>T</w:t>
      </w:r>
      <w:r>
        <w:t>hese are not mutually exclusive functions</w:t>
      </w:r>
      <w:r w:rsidR="00077B94">
        <w:t>. E</w:t>
      </w:r>
      <w:r>
        <w:t>ffective regulation is essential to the live</w:t>
      </w:r>
      <w:r w:rsidR="00BD7FC4">
        <w:t>stock</w:t>
      </w:r>
      <w:r>
        <w:t xml:space="preserve"> animal exports trade</w:t>
      </w:r>
      <w:r w:rsidR="00077B94">
        <w:t>,</w:t>
      </w:r>
      <w:r>
        <w:t xml:space="preserve"> ensuring importing country requirements are met and </w:t>
      </w:r>
      <w:r w:rsidR="00077B94">
        <w:t xml:space="preserve">helping </w:t>
      </w:r>
      <w:r>
        <w:t xml:space="preserve">maintain trust and confidence that the industry is meeting community expectations. How the department weighs potentially competing objectives between trade and animal health and welfare in its </w:t>
      </w:r>
      <w:r w:rsidR="005E000E">
        <w:t>decision-mak</w:t>
      </w:r>
      <w:r>
        <w:t xml:space="preserve">ing is </w:t>
      </w:r>
      <w:r w:rsidR="00BF2D1E">
        <w:t>important</w:t>
      </w:r>
      <w:r>
        <w:t>.</w:t>
      </w:r>
    </w:p>
    <w:p w14:paraId="60D4D822" w14:textId="6AB22F0B" w:rsidR="004A7F7F" w:rsidRDefault="00F23DC7" w:rsidP="00892294">
      <w:r w:rsidRPr="00892294">
        <w:t xml:space="preserve">The department </w:t>
      </w:r>
      <w:r w:rsidR="00BF2D1E">
        <w:t xml:space="preserve">also </w:t>
      </w:r>
      <w:r w:rsidR="008768F4">
        <w:t xml:space="preserve">needs to consider how </w:t>
      </w:r>
      <w:r w:rsidRPr="00892294">
        <w:t xml:space="preserve">the </w:t>
      </w:r>
      <w:r w:rsidR="008768F4">
        <w:t xml:space="preserve">presentation of its decision making may </w:t>
      </w:r>
      <w:r w:rsidR="00077B94">
        <w:t>affect</w:t>
      </w:r>
      <w:r w:rsidR="00077B94" w:rsidRPr="00892294">
        <w:t xml:space="preserve"> </w:t>
      </w:r>
      <w:r w:rsidRPr="00892294">
        <w:t>community perception.</w:t>
      </w:r>
      <w:r>
        <w:t xml:space="preserve"> </w:t>
      </w:r>
      <w:r w:rsidR="00BF2D1E">
        <w:t xml:space="preserve">The </w:t>
      </w:r>
      <w:r w:rsidR="005E227B">
        <w:t>i</w:t>
      </w:r>
      <w:r w:rsidR="00BF2D1E">
        <w:t>nspector-</w:t>
      </w:r>
      <w:r w:rsidR="005E227B">
        <w:t>g</w:t>
      </w:r>
      <w:r w:rsidR="00BF2D1E">
        <w:t>eneral received submissions and stakeholder c</w:t>
      </w:r>
      <w:r w:rsidR="004A7F7F">
        <w:t xml:space="preserve">omments </w:t>
      </w:r>
      <w:r w:rsidR="00077B94">
        <w:t xml:space="preserve">on the </w:t>
      </w:r>
      <w:r w:rsidR="000E2F2E">
        <w:t xml:space="preserve">MV </w:t>
      </w:r>
      <w:r w:rsidR="00077B94" w:rsidRPr="000E2F2E">
        <w:rPr>
          <w:rStyle w:val="Emphasis"/>
        </w:rPr>
        <w:t>Al Kuwait</w:t>
      </w:r>
      <w:r w:rsidR="00077B94">
        <w:t xml:space="preserve"> case (</w:t>
      </w:r>
      <w:r w:rsidR="00077B94">
        <w:fldChar w:fldCharType="begin"/>
      </w:r>
      <w:r w:rsidR="00077B94">
        <w:instrText xml:space="preserve"> REF _Ref53671514 \h </w:instrText>
      </w:r>
      <w:r w:rsidR="00077B94">
        <w:fldChar w:fldCharType="separate"/>
      </w:r>
      <w:r w:rsidR="00FE420F">
        <w:t xml:space="preserve">Case study </w:t>
      </w:r>
      <w:r w:rsidR="00FE420F">
        <w:rPr>
          <w:noProof/>
        </w:rPr>
        <w:t>2</w:t>
      </w:r>
      <w:r w:rsidR="00077B94">
        <w:fldChar w:fldCharType="end"/>
      </w:r>
      <w:r w:rsidR="00077B94">
        <w:t xml:space="preserve">). </w:t>
      </w:r>
      <w:r w:rsidR="0055772E">
        <w:t>Some stakeholders</w:t>
      </w:r>
      <w:r w:rsidR="008768F4">
        <w:t xml:space="preserve"> (not confined to</w:t>
      </w:r>
      <w:r w:rsidR="00E22B45">
        <w:t xml:space="preserve"> animal welfare advocacy groups</w:t>
      </w:r>
      <w:r w:rsidR="0055772E">
        <w:t>) believed that</w:t>
      </w:r>
      <w:r w:rsidR="00BF2D1E">
        <w:t xml:space="preserve"> </w:t>
      </w:r>
      <w:r w:rsidR="00077B94">
        <w:t xml:space="preserve">the department gave </w:t>
      </w:r>
      <w:r w:rsidR="00E22B45">
        <w:t xml:space="preserve">significantly </w:t>
      </w:r>
      <w:r w:rsidR="00077B94">
        <w:t xml:space="preserve">more weight to </w:t>
      </w:r>
      <w:r w:rsidR="006275BD" w:rsidRPr="00892294">
        <w:t xml:space="preserve">trade </w:t>
      </w:r>
      <w:r w:rsidR="004A7F7F">
        <w:t xml:space="preserve">and financial </w:t>
      </w:r>
      <w:r w:rsidR="006275BD" w:rsidRPr="00892294">
        <w:t xml:space="preserve">considerations than </w:t>
      </w:r>
      <w:r w:rsidR="00077B94">
        <w:t xml:space="preserve">to </w:t>
      </w:r>
      <w:r w:rsidR="006275BD" w:rsidRPr="00892294">
        <w:t>animal health and welfare considerations in granting the second application.</w:t>
      </w:r>
    </w:p>
    <w:p w14:paraId="2997E528" w14:textId="1220686A" w:rsidR="009C2753" w:rsidRDefault="006275BD" w:rsidP="00892294">
      <w:r w:rsidRPr="00892294">
        <w:t xml:space="preserve">The </w:t>
      </w:r>
      <w:r w:rsidR="00E22B45">
        <w:t xml:space="preserve">published </w:t>
      </w:r>
      <w:r w:rsidRPr="00892294">
        <w:t>decision is clear on the weight given to trade considerations and to the financial implications for the applicant. The decision</w:t>
      </w:r>
      <w:r w:rsidR="004A7F7F">
        <w:t xml:space="preserve"> also</w:t>
      </w:r>
      <w:r w:rsidRPr="00892294">
        <w:t xml:space="preserve"> indicates significant changes in the risk mitigation approach to animal health and welfare proposed by the applicant</w:t>
      </w:r>
      <w:r w:rsidR="004A7F7F">
        <w:t xml:space="preserve">. However, </w:t>
      </w:r>
      <w:r w:rsidR="003B0B63">
        <w:t>t</w:t>
      </w:r>
      <w:r w:rsidR="00E22B45">
        <w:t>he published decision</w:t>
      </w:r>
      <w:r w:rsidR="003B0B63">
        <w:t xml:space="preserve"> </w:t>
      </w:r>
      <w:r w:rsidR="004A7F7F">
        <w:t>is</w:t>
      </w:r>
      <w:r w:rsidRPr="00892294">
        <w:t xml:space="preserve"> less clear on</w:t>
      </w:r>
      <w:r w:rsidR="0067199B" w:rsidRPr="00892294">
        <w:t xml:space="preserve"> </w:t>
      </w:r>
      <w:r w:rsidR="00B94840" w:rsidRPr="00892294">
        <w:t>the difference</w:t>
      </w:r>
      <w:r w:rsidR="006405FE">
        <w:t>s</w:t>
      </w:r>
      <w:r w:rsidR="00B94840" w:rsidRPr="00892294">
        <w:t xml:space="preserve"> </w:t>
      </w:r>
      <w:r w:rsidR="006405FE">
        <w:t>between</w:t>
      </w:r>
      <w:r w:rsidR="00B94840" w:rsidRPr="00892294">
        <w:t xml:space="preserve"> the first</w:t>
      </w:r>
      <w:r w:rsidR="006405FE">
        <w:t xml:space="preserve"> and second</w:t>
      </w:r>
      <w:r w:rsidR="00B94840" w:rsidRPr="00892294">
        <w:t xml:space="preserve"> application</w:t>
      </w:r>
      <w:r w:rsidR="006405FE">
        <w:t>s</w:t>
      </w:r>
      <w:r w:rsidR="00B94840" w:rsidRPr="00892294">
        <w:t>, the addi</w:t>
      </w:r>
      <w:r w:rsidR="00E22B45">
        <w:t>tional mitigation of the risk of</w:t>
      </w:r>
      <w:r w:rsidR="00B94840" w:rsidRPr="00892294">
        <w:t xml:space="preserve"> poor animal health and welfare</w:t>
      </w:r>
      <w:r w:rsidR="00E22B45">
        <w:t xml:space="preserve"> outcomes</w:t>
      </w:r>
      <w:r w:rsidR="00B94840" w:rsidRPr="00892294">
        <w:t xml:space="preserve"> that these changes constituted,</w:t>
      </w:r>
      <w:r w:rsidRPr="00892294">
        <w:t xml:space="preserve"> </w:t>
      </w:r>
      <w:r w:rsidR="00B94840" w:rsidRPr="00892294">
        <w:t xml:space="preserve">and </w:t>
      </w:r>
      <w:r w:rsidRPr="00892294">
        <w:t>the weight given to them.</w:t>
      </w:r>
    </w:p>
    <w:p w14:paraId="051EAA58" w14:textId="4D5DE4E9" w:rsidR="00095630" w:rsidRPr="00892294" w:rsidRDefault="009C2753" w:rsidP="00892294">
      <w:r>
        <w:t>S</w:t>
      </w:r>
      <w:r w:rsidR="00DA450B" w:rsidRPr="00892294">
        <w:t>ome stakeholders view industry regulation and trade facilitation as contradictory</w:t>
      </w:r>
      <w:r>
        <w:t>,</w:t>
      </w:r>
      <w:r w:rsidR="00DA450B" w:rsidRPr="00892294">
        <w:t xml:space="preserve"> </w:t>
      </w:r>
      <w:r>
        <w:t xml:space="preserve">so the department needs to consider how it will </w:t>
      </w:r>
      <w:r w:rsidR="00DA450B" w:rsidRPr="00892294">
        <w:t>manag</w:t>
      </w:r>
      <w:r>
        <w:t>e</w:t>
      </w:r>
      <w:r w:rsidR="00DA450B" w:rsidRPr="00892294">
        <w:t xml:space="preserve"> community perception,</w:t>
      </w:r>
      <w:r w:rsidR="006275BD" w:rsidRPr="00892294">
        <w:t xml:space="preserve"> and hence community confidence and trust in </w:t>
      </w:r>
      <w:r>
        <w:t>it</w:t>
      </w:r>
      <w:r w:rsidR="006275BD" w:rsidRPr="00892294">
        <w:t xml:space="preserve"> as a regulator.</w:t>
      </w:r>
      <w:r w:rsidR="004A7F7F">
        <w:t xml:space="preserve"> The</w:t>
      </w:r>
      <w:r>
        <w:t xml:space="preserve"> department could have provided</w:t>
      </w:r>
      <w:r w:rsidR="004A7F7F">
        <w:t xml:space="preserve"> </w:t>
      </w:r>
      <w:r>
        <w:t xml:space="preserve">more </w:t>
      </w:r>
      <w:r w:rsidR="004A7F7F">
        <w:t>detail</w:t>
      </w:r>
      <w:r>
        <w:t xml:space="preserve"> on each aspect of its decision</w:t>
      </w:r>
      <w:r w:rsidR="00E22B45">
        <w:t xml:space="preserve">, and </w:t>
      </w:r>
      <w:r w:rsidR="004D0DC9">
        <w:t xml:space="preserve">where relevant drawn </w:t>
      </w:r>
      <w:r w:rsidR="00E22B45">
        <w:t xml:space="preserve">more </w:t>
      </w:r>
      <w:r w:rsidR="004D0DC9">
        <w:t>attention to any enhanced risk mitigation measures</w:t>
      </w:r>
      <w:r w:rsidR="00254D25">
        <w:t xml:space="preserve"> and additional conditions</w:t>
      </w:r>
      <w:r w:rsidR="004158BB" w:rsidRPr="009C2753">
        <w:t xml:space="preserve">. This may have </w:t>
      </w:r>
      <w:r w:rsidRPr="00B16937">
        <w:t>helped</w:t>
      </w:r>
      <w:r w:rsidR="004158BB" w:rsidRPr="009C2753">
        <w:t xml:space="preserve"> those interested in the decision </w:t>
      </w:r>
      <w:r w:rsidR="004D0DC9">
        <w:t xml:space="preserve">better </w:t>
      </w:r>
      <w:r w:rsidR="004158BB" w:rsidRPr="009C2753">
        <w:t xml:space="preserve">understand the </w:t>
      </w:r>
      <w:r>
        <w:t xml:space="preserve">department’s </w:t>
      </w:r>
      <w:r w:rsidR="004158BB" w:rsidRPr="009C2753">
        <w:t>reason</w:t>
      </w:r>
      <w:r w:rsidRPr="00B16937">
        <w:t>ing</w:t>
      </w:r>
      <w:r w:rsidR="004158BB" w:rsidRPr="009C2753">
        <w:t>.</w:t>
      </w:r>
      <w:r w:rsidR="006702D8">
        <w:t xml:space="preserve"> In publishing reasons for decisions</w:t>
      </w:r>
      <w:r>
        <w:t>, the department needs to apply</w:t>
      </w:r>
      <w:r w:rsidR="00E076C7">
        <w:t xml:space="preserve"> administrative </w:t>
      </w:r>
      <w:r w:rsidR="004D0DC9">
        <w:t>law but also</w:t>
      </w:r>
      <w:r w:rsidR="00E076C7">
        <w:t xml:space="preserve"> </w:t>
      </w:r>
      <w:r w:rsidR="004D0DC9">
        <w:t>use</w:t>
      </w:r>
      <w:r w:rsidR="00D176CB">
        <w:t xml:space="preserve"> plain English, so that no</w:t>
      </w:r>
      <w:r w:rsidR="004D0DC9">
        <w:t>t</w:t>
      </w:r>
      <w:r w:rsidR="00D176CB">
        <w:t xml:space="preserve"> only those with legal training can evaluate the decision</w:t>
      </w:r>
      <w:r w:rsidR="006702D8">
        <w:t xml:space="preserve">. </w:t>
      </w:r>
      <w:r w:rsidR="004D0DC9">
        <w:t xml:space="preserve">In this regard </w:t>
      </w:r>
      <w:r w:rsidR="00DD18BC">
        <w:t>t</w:t>
      </w:r>
      <w:r w:rsidR="00E22B45">
        <w:t>he</w:t>
      </w:r>
      <w:r w:rsidR="00DD18BC">
        <w:t xml:space="preserve"> </w:t>
      </w:r>
      <w:r w:rsidR="006702D8">
        <w:t>department should consider whether decisions of this nature would benefit from input from public communications expert</w:t>
      </w:r>
      <w:r w:rsidR="00D176CB">
        <w:t>s</w:t>
      </w:r>
      <w:r w:rsidR="00DD18BC">
        <w:t xml:space="preserve"> prior to finalisation</w:t>
      </w:r>
      <w:r w:rsidR="00E22B45">
        <w:t xml:space="preserve"> and publication</w:t>
      </w:r>
      <w:r w:rsidR="006702D8">
        <w:t>.</w:t>
      </w:r>
    </w:p>
    <w:p w14:paraId="638BEFF8" w14:textId="5FB5A5DF" w:rsidR="00F23DC7" w:rsidRDefault="00DD18BC" w:rsidP="00892294">
      <w:r>
        <w:t>T</w:t>
      </w:r>
      <w:r w:rsidR="0009003A" w:rsidRPr="00892294">
        <w:t xml:space="preserve">here were clearly substantial differences between the </w:t>
      </w:r>
      <w:r w:rsidR="002012DC">
        <w:t>2 </w:t>
      </w:r>
      <w:r w:rsidR="0009003A" w:rsidRPr="00892294">
        <w:t>exemption application</w:t>
      </w:r>
      <w:r w:rsidR="00F23DC7">
        <w:t>s</w:t>
      </w:r>
      <w:r w:rsidR="0009003A" w:rsidRPr="00892294">
        <w:t>.</w:t>
      </w:r>
      <w:r w:rsidRPr="00DD18BC">
        <w:t xml:space="preserve"> </w:t>
      </w:r>
      <w:r>
        <w:t xml:space="preserve">Accordingly, the same decision-maker that refused the first application may have reached a different conclusion for the second application and approved it. </w:t>
      </w:r>
      <w:r w:rsidR="0009003A" w:rsidRPr="00892294">
        <w:t xml:space="preserve"> </w:t>
      </w:r>
      <w:r w:rsidR="00997ADC" w:rsidRPr="00892294">
        <w:t>T</w:t>
      </w:r>
      <w:r w:rsidR="0009003A" w:rsidRPr="00892294">
        <w:t xml:space="preserve">he nature of regulatory </w:t>
      </w:r>
      <w:r w:rsidR="005E000E">
        <w:t>decision-mak</w:t>
      </w:r>
      <w:r w:rsidR="0009003A" w:rsidRPr="00892294">
        <w:t>ing means that, for a given set of circumstances, dif</w:t>
      </w:r>
      <w:r w:rsidR="00997ADC" w:rsidRPr="00892294">
        <w:t xml:space="preserve">ferent </w:t>
      </w:r>
      <w:r w:rsidR="005E000E">
        <w:t>decision-mak</w:t>
      </w:r>
      <w:r w:rsidR="00997ADC" w:rsidRPr="00892294">
        <w:t xml:space="preserve">ers may reach </w:t>
      </w:r>
      <w:r w:rsidR="0009003A" w:rsidRPr="00892294">
        <w:t>different conclusion</w:t>
      </w:r>
      <w:r w:rsidR="00997ADC" w:rsidRPr="00892294">
        <w:t>s</w:t>
      </w:r>
      <w:r w:rsidR="0067199B" w:rsidRPr="00892294">
        <w:t xml:space="preserve">, </w:t>
      </w:r>
      <w:r w:rsidR="00997ADC" w:rsidRPr="00892294">
        <w:t>and hence</w:t>
      </w:r>
      <w:r w:rsidR="0009003A" w:rsidRPr="00892294">
        <w:t xml:space="preserve"> decisions.</w:t>
      </w:r>
      <w:r w:rsidR="00997ADC" w:rsidRPr="00892294">
        <w:t xml:space="preserve"> Clarity in objectives, standards, policy and practice should alleviate this possibility to a large extent.</w:t>
      </w:r>
    </w:p>
    <w:p w14:paraId="3474C8D0" w14:textId="54243B91" w:rsidR="00F23DC7" w:rsidRDefault="00DD18BC" w:rsidP="00892294">
      <w:r>
        <w:t xml:space="preserve">The department chose to use a different decision maker for the second application. </w:t>
      </w:r>
      <w:r w:rsidR="00BA7C8F">
        <w:t xml:space="preserve">It is entirely </w:t>
      </w:r>
      <w:r>
        <w:t>appropriate for the department</w:t>
      </w:r>
      <w:r w:rsidR="00BA7C8F">
        <w:t xml:space="preserve"> to consider and change decision makers for different applications. In this instance it </w:t>
      </w:r>
      <w:r>
        <w:t>may</w:t>
      </w:r>
      <w:r w:rsidR="00557D50">
        <w:t xml:space="preserve"> h</w:t>
      </w:r>
      <w:r w:rsidR="00BA7C8F">
        <w:t>ave been to</w:t>
      </w:r>
      <w:r w:rsidR="0067199B" w:rsidRPr="00892294">
        <w:t xml:space="preserve"> manage a</w:t>
      </w:r>
      <w:r w:rsidR="00557D50">
        <w:t>ny</w:t>
      </w:r>
      <w:r w:rsidR="0067199B" w:rsidRPr="00892294">
        <w:t xml:space="preserve"> perception </w:t>
      </w:r>
      <w:r>
        <w:t>that the first decision maker had a fixed or biased perspective</w:t>
      </w:r>
      <w:r w:rsidR="00847EAB" w:rsidRPr="00892294">
        <w:t>. However</w:t>
      </w:r>
      <w:r w:rsidR="0067199B" w:rsidRPr="00892294">
        <w:t xml:space="preserve">, the </w:t>
      </w:r>
      <w:r w:rsidR="005E000E">
        <w:t>decision-mak</w:t>
      </w:r>
      <w:r w:rsidR="0067199B" w:rsidRPr="00892294">
        <w:t xml:space="preserve">er </w:t>
      </w:r>
      <w:r>
        <w:t>was elevated</w:t>
      </w:r>
      <w:r w:rsidR="00BA7C8F">
        <w:t xml:space="preserve"> from the</w:t>
      </w:r>
      <w:r w:rsidR="00CF1F4E" w:rsidRPr="00CF1F4E">
        <w:t xml:space="preserve"> Plant and Live Animal Exports Division</w:t>
      </w:r>
      <w:r w:rsidR="00CF1F4E" w:rsidRPr="00CF1F4E" w:rsidDel="00CF1F4E">
        <w:t xml:space="preserve"> </w:t>
      </w:r>
      <w:r w:rsidR="0067199B" w:rsidRPr="00892294">
        <w:t xml:space="preserve">to a </w:t>
      </w:r>
      <w:r w:rsidR="002012DC">
        <w:t>d</w:t>
      </w:r>
      <w:r w:rsidR="0067199B" w:rsidRPr="00892294">
        <w:t xml:space="preserve">eputy </w:t>
      </w:r>
      <w:r w:rsidR="002012DC">
        <w:t>s</w:t>
      </w:r>
      <w:r w:rsidR="0067199B" w:rsidRPr="00892294">
        <w:t>ecretary</w:t>
      </w:r>
      <w:r w:rsidR="00847EAB" w:rsidRPr="00892294">
        <w:t>,</w:t>
      </w:r>
      <w:r w:rsidR="0067199B" w:rsidRPr="00892294">
        <w:t xml:space="preserve"> whose role is represented in the organisational structure as being responsible for trade development and facilitation</w:t>
      </w:r>
      <w:r w:rsidR="00BA7C8F">
        <w:t>,</w:t>
      </w:r>
      <w:r w:rsidR="0067199B" w:rsidRPr="00892294">
        <w:t xml:space="preserve"> as well as </w:t>
      </w:r>
      <w:r w:rsidR="002F4669" w:rsidRPr="00892294">
        <w:t>regulation</w:t>
      </w:r>
      <w:r w:rsidR="00BA7C8F">
        <w:t>,</w:t>
      </w:r>
      <w:r>
        <w:t xml:space="preserve"> and who has recently moved from a trade role into the department</w:t>
      </w:r>
      <w:r w:rsidR="002F4669" w:rsidRPr="00892294">
        <w:t>.</w:t>
      </w:r>
      <w:r w:rsidR="00BA7C8F">
        <w:t xml:space="preserve"> This has been perceived by a range of stakeholders as a sign of trade considerations outweighing animal health and welfare considerations.</w:t>
      </w:r>
    </w:p>
    <w:p w14:paraId="7D2F7D9F" w14:textId="273701FB" w:rsidR="006275BD" w:rsidRPr="00892294" w:rsidRDefault="002F4669" w:rsidP="00892294">
      <w:r w:rsidRPr="00892294">
        <w:lastRenderedPageBreak/>
        <w:t xml:space="preserve">The department should </w:t>
      </w:r>
      <w:r w:rsidR="004A7F7F">
        <w:t>consider</w:t>
      </w:r>
      <w:r w:rsidRPr="00892294">
        <w:t xml:space="preserve"> how th</w:t>
      </w:r>
      <w:r w:rsidR="004A7F7F">
        <w:t>e selection of</w:t>
      </w:r>
      <w:r w:rsidRPr="00892294">
        <w:t xml:space="preserve"> </w:t>
      </w:r>
      <w:r w:rsidR="005E000E">
        <w:t>decision-mak</w:t>
      </w:r>
      <w:r w:rsidRPr="00892294">
        <w:t>er could</w:t>
      </w:r>
      <w:r w:rsidR="00E028A9">
        <w:t xml:space="preserve"> affect</w:t>
      </w:r>
      <w:r w:rsidR="00847EAB" w:rsidRPr="00892294">
        <w:t xml:space="preserve"> external</w:t>
      </w:r>
      <w:r w:rsidRPr="00892294">
        <w:t xml:space="preserve"> perceptions of it as </w:t>
      </w:r>
      <w:r w:rsidR="00847EAB" w:rsidRPr="00892294">
        <w:t xml:space="preserve">the </w:t>
      </w:r>
      <w:r w:rsidRPr="00892294">
        <w:t>independent regulator</w:t>
      </w:r>
      <w:r w:rsidR="00F23DC7">
        <w:t>. It should also reflect on</w:t>
      </w:r>
      <w:r w:rsidRPr="00892294">
        <w:t xml:space="preserve"> the </w:t>
      </w:r>
      <w:r w:rsidR="00847EAB" w:rsidRPr="00892294">
        <w:t xml:space="preserve">internal </w:t>
      </w:r>
      <w:r w:rsidRPr="00892294">
        <w:t xml:space="preserve">perceptions </w:t>
      </w:r>
      <w:r w:rsidR="001A1CE0" w:rsidRPr="00892294">
        <w:t xml:space="preserve">and potential cultural impact </w:t>
      </w:r>
      <w:r w:rsidRPr="00892294">
        <w:t xml:space="preserve">this may </w:t>
      </w:r>
      <w:r w:rsidR="00E028A9">
        <w:t xml:space="preserve">have on </w:t>
      </w:r>
      <w:r w:rsidRPr="00892294">
        <w:t>regulatory officers.</w:t>
      </w:r>
      <w:r w:rsidR="001C3EB9" w:rsidRPr="00892294">
        <w:t xml:space="preserve"> </w:t>
      </w:r>
      <w:r w:rsidR="00E028A9">
        <w:t>P</w:t>
      </w:r>
      <w:r w:rsidR="001C3EB9" w:rsidRPr="00892294">
        <w:t xml:space="preserve">roviding an explanation of the department’s rationale for </w:t>
      </w:r>
      <w:r w:rsidR="006405FE">
        <w:t xml:space="preserve">a </w:t>
      </w:r>
      <w:r w:rsidR="00BA7C8F">
        <w:t xml:space="preserve">change in </w:t>
      </w:r>
      <w:r w:rsidR="005E000E">
        <w:t>decision-mak</w:t>
      </w:r>
      <w:r w:rsidR="006405FE">
        <w:t>er</w:t>
      </w:r>
      <w:r w:rsidR="001C3EB9" w:rsidRPr="00892294">
        <w:t xml:space="preserve"> </w:t>
      </w:r>
      <w:r w:rsidR="00BA7C8F">
        <w:t xml:space="preserve">of this nature </w:t>
      </w:r>
      <w:r w:rsidR="001C3EB9" w:rsidRPr="00892294">
        <w:t>may</w:t>
      </w:r>
      <w:r w:rsidR="00BA7C8F">
        <w:t xml:space="preserve"> have</w:t>
      </w:r>
      <w:r w:rsidR="001C3EB9" w:rsidRPr="00892294">
        <w:t xml:space="preserve"> </w:t>
      </w:r>
      <w:r w:rsidR="00BE50B4">
        <w:t>help</w:t>
      </w:r>
      <w:r w:rsidR="00BA7C8F">
        <w:t>ed to</w:t>
      </w:r>
      <w:r w:rsidR="006405FE">
        <w:t xml:space="preserve"> reduc</w:t>
      </w:r>
      <w:r w:rsidR="00BE50B4">
        <w:t>e</w:t>
      </w:r>
      <w:r w:rsidR="001C3EB9" w:rsidRPr="00892294">
        <w:t xml:space="preserve"> the risk of stakeholders reaching their own conclusions.</w:t>
      </w:r>
    </w:p>
    <w:p w14:paraId="3A8931C3" w14:textId="1BCAB3DA" w:rsidR="00BD6C3E" w:rsidRDefault="00F626AA" w:rsidP="00D2217D">
      <w:r w:rsidRPr="00892294">
        <w:t xml:space="preserve">The </w:t>
      </w:r>
      <w:r w:rsidR="001A6B90" w:rsidRPr="00892294">
        <w:t xml:space="preserve">animal health and welfare outcome from the voyage </w:t>
      </w:r>
      <w:r w:rsidR="00E028A9">
        <w:t>was</w:t>
      </w:r>
      <w:r w:rsidR="001A6B90" w:rsidRPr="00892294">
        <w:t xml:space="preserve"> a mortality rate of 0.08% (</w:t>
      </w:r>
      <w:r w:rsidR="002012DC" w:rsidRPr="00892294">
        <w:t>28</w:t>
      </w:r>
      <w:r w:rsidR="002012DC">
        <w:t> </w:t>
      </w:r>
      <w:r w:rsidR="001A6B90" w:rsidRPr="00892294">
        <w:t xml:space="preserve">sheep), which was below the 1% (333) reportable </w:t>
      </w:r>
      <w:r w:rsidR="00D1652F">
        <w:t xml:space="preserve">mortality </w:t>
      </w:r>
      <w:r w:rsidR="001A6B90" w:rsidRPr="00892294">
        <w:t>rate</w:t>
      </w:r>
      <w:r w:rsidR="00E028A9">
        <w:t xml:space="preserve"> </w:t>
      </w:r>
      <w:r w:rsidR="001C3EB9" w:rsidRPr="00892294">
        <w:t xml:space="preserve">for </w:t>
      </w:r>
      <w:r w:rsidR="00E22B45">
        <w:t>this</w:t>
      </w:r>
      <w:r w:rsidR="001C3EB9" w:rsidRPr="00892294">
        <w:t xml:space="preserve"> voyage</w:t>
      </w:r>
      <w:r w:rsidR="00E22B45">
        <w:t xml:space="preserve"> </w:t>
      </w:r>
      <w:r w:rsidR="001A6B90" w:rsidRPr="00892294">
        <w:t>(</w:t>
      </w:r>
      <w:r w:rsidR="002012DC">
        <w:t>n</w:t>
      </w:r>
      <w:r w:rsidR="001A6B90" w:rsidRPr="00892294">
        <w:t xml:space="preserve">oting a 155 negative head count discrepancy). </w:t>
      </w:r>
      <w:r w:rsidR="00F23DC7">
        <w:t>The heat stress scores observed during the voyage</w:t>
      </w:r>
      <w:r w:rsidR="00BB7471">
        <w:t xml:space="preserve"> (see</w:t>
      </w:r>
      <w:r w:rsidR="00701AF0">
        <w:t xml:space="preserve"> </w:t>
      </w:r>
      <w:r w:rsidR="00701AF0">
        <w:fldChar w:fldCharType="begin"/>
      </w:r>
      <w:r w:rsidR="00701AF0">
        <w:instrText xml:space="preserve"> REF _Ref53671514 \h </w:instrText>
      </w:r>
      <w:r w:rsidR="00701AF0">
        <w:fldChar w:fldCharType="separate"/>
      </w:r>
      <w:r w:rsidR="00FE420F">
        <w:t xml:space="preserve">Case study </w:t>
      </w:r>
      <w:r w:rsidR="00FE420F">
        <w:rPr>
          <w:noProof/>
        </w:rPr>
        <w:t>2</w:t>
      </w:r>
      <w:r w:rsidR="00701AF0">
        <w:fldChar w:fldCharType="end"/>
      </w:r>
      <w:r w:rsidR="00BB7471">
        <w:t>)</w:t>
      </w:r>
      <w:r w:rsidR="001A6B90" w:rsidRPr="00892294">
        <w:t xml:space="preserve"> appear to confirm that exporting sheep to the </w:t>
      </w:r>
      <w:r w:rsidR="00A80B5C" w:rsidRPr="00892294">
        <w:t>Middle East</w:t>
      </w:r>
      <w:r w:rsidR="001A6B90" w:rsidRPr="00892294">
        <w:t xml:space="preserve"> during the northern summer prohibition period results in a poor animal health and welfare outcome for many of the animals, despite the additional risk mitigations </w:t>
      </w:r>
      <w:r w:rsidR="006405FE">
        <w:t>undertaken</w:t>
      </w:r>
      <w:r w:rsidR="001A6B90" w:rsidRPr="00892294">
        <w:t xml:space="preserve"> by the exporter.</w:t>
      </w:r>
      <w:r w:rsidR="006301DF">
        <w:t xml:space="preserve"> This points to the soundness of</w:t>
      </w:r>
      <w:r w:rsidR="006702D8">
        <w:t xml:space="preserve"> the industry’s decision to put in place a voluntary moratorium in 2019</w:t>
      </w:r>
      <w:r w:rsidR="006301DF">
        <w:t>,</w:t>
      </w:r>
      <w:r w:rsidR="006702D8">
        <w:t xml:space="preserve"> and the department’s </w:t>
      </w:r>
      <w:r w:rsidR="006301DF">
        <w:t>decision to impose th</w:t>
      </w:r>
      <w:r w:rsidR="00BA7C8F">
        <w:t xml:space="preserve">e </w:t>
      </w:r>
      <w:bookmarkStart w:id="45" w:name="_Toc50558976"/>
      <w:bookmarkStart w:id="46" w:name="_Toc50559145"/>
      <w:bookmarkStart w:id="47" w:name="_Toc50559242"/>
      <w:bookmarkStart w:id="48" w:name="_Toc27476191"/>
      <w:bookmarkStart w:id="49" w:name="_Toc22306651"/>
      <w:bookmarkStart w:id="50" w:name="_Monitoring_reporting_and"/>
      <w:bookmarkStart w:id="51" w:name="_Data_quality,_standards"/>
      <w:bookmarkStart w:id="52" w:name="_Toc27476199"/>
      <w:bookmarkStart w:id="53" w:name="_Toc27476200"/>
      <w:bookmarkStart w:id="54" w:name="_Livestock_Exporters_exporters"/>
      <w:bookmarkStart w:id="55" w:name="_Livestock_exporters"/>
      <w:bookmarkStart w:id="56" w:name="_Toc27476204"/>
      <w:bookmarkStart w:id="57" w:name="_Independent_Observers"/>
      <w:bookmarkStart w:id="58" w:name="_Toc430782160"/>
      <w:bookmarkEnd w:id="45"/>
      <w:bookmarkEnd w:id="46"/>
      <w:bookmarkEnd w:id="47"/>
      <w:bookmarkEnd w:id="48"/>
      <w:bookmarkEnd w:id="49"/>
      <w:bookmarkEnd w:id="50"/>
      <w:bookmarkEnd w:id="51"/>
      <w:bookmarkEnd w:id="52"/>
      <w:bookmarkEnd w:id="53"/>
      <w:bookmarkEnd w:id="54"/>
      <w:bookmarkEnd w:id="55"/>
      <w:bookmarkEnd w:id="56"/>
      <w:bookmarkEnd w:id="57"/>
      <w:r w:rsidR="00BD6C3E" w:rsidRPr="00FC21F4">
        <w:t>Australian Meat and Live‑stock Industry (Prohibition of Export of Sheep by Sea to Middle East—Northern Summer) Order 2020</w:t>
      </w:r>
      <w:r w:rsidR="00BD6C3E">
        <w:t>.</w:t>
      </w:r>
    </w:p>
    <w:p w14:paraId="4DAA00BA" w14:textId="2BE75107" w:rsidR="00C26E64" w:rsidRDefault="00420862" w:rsidP="00420862">
      <w:pPr>
        <w:pStyle w:val="Heading2"/>
        <w:numPr>
          <w:ilvl w:val="0"/>
          <w:numId w:val="0"/>
        </w:numPr>
      </w:pPr>
      <w:bookmarkStart w:id="59" w:name="_Toc58774290"/>
      <w:r>
        <w:lastRenderedPageBreak/>
        <w:t xml:space="preserve">Appendix A: </w:t>
      </w:r>
      <w:r w:rsidR="00EE3A5A">
        <w:t>Department</w:t>
      </w:r>
      <w:r w:rsidR="007B2FD7">
        <w:t>’s</w:t>
      </w:r>
      <w:r w:rsidR="00EE3A5A">
        <w:t xml:space="preserve"> response</w:t>
      </w:r>
      <w:bookmarkEnd w:id="59"/>
    </w:p>
    <w:p w14:paraId="641C37E2" w14:textId="6D25012E" w:rsidR="00F06C29" w:rsidRDefault="00C26E64" w:rsidP="00C26E64">
      <w:pPr>
        <w:rPr>
          <w:lang w:eastAsia="ja-JP"/>
        </w:rPr>
      </w:pPr>
      <w:r>
        <w:rPr>
          <w:noProof/>
          <w:lang w:eastAsia="en-AU"/>
        </w:rPr>
        <w:drawing>
          <wp:inline distT="0" distB="0" distL="0" distR="0" wp14:anchorId="010BAC28" wp14:editId="439E55BD">
            <wp:extent cx="5742940" cy="8114030"/>
            <wp:effectExtent l="0" t="0" r="0" b="1270"/>
            <wp:docPr id="3" name="Picture 3" descr="Dear Mr Carter&#10;Thank you for providing your draft report on Implementation of Moss Review recommendations (version 15) to me on 4 November 2020; and for providing the opportunity to respond to your findings.&#10;The Moss Review was important to live animal exports as it provided deep consideration of the culture and practice of regulation in this area. The department has taken its implementation very seriously and, as you note, has achieved significant progress. I do not resile from the fact that there are still areas of work to be undertaken, particularly around systems improvement and in becoming a best practice regulator. It was important though that first the department dealt with a number of core underpinning issues.&#10;The department accepts your recommendations relating to the implementation of improved IT infrastructure. The department was pleased to secure the funding for a major project relating to export systems in the 2020-2021 Budget. While the project will encompass all export areas, the department will ensure that the key recommendations of the Moss Review, as well as your own recommendations, are addressed through this project. As you will appreciate, building new systems can take time and will be delivered in stages, but the recommendations go to the core of the issues the Congestion Busting package was funded to address.&#10;Similarly, the department will maintain its focus on regulatory practice across the board, but particularly in live animal exports. The department is continuing to innovate in how it does its business, and a greater use of multi-disciplinary teams and a focus on having all parts of the regulatory chain involved in developing policies, processes and instructional material will help to address the issue of dispersed regulatory functions.&#10;The department accepts your comments on the approach to nomenclature regarding the status of implementation, and this will be reflected in the next update on progress on the Moss Review which is set to be published in February.&#10;In relation to your specific recommendations, I have provided a detailed response at Enclosure 1.&#10;Yours sincerely&#10;Andrew Metcalfe AO&#10;Secretary&#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42940" cy="8114030"/>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562"/>
        <w:gridCol w:w="3686"/>
        <w:gridCol w:w="4768"/>
      </w:tblGrid>
      <w:tr w:rsidR="00C26E64" w14:paraId="676729F3" w14:textId="77777777" w:rsidTr="00DB56C7">
        <w:trPr>
          <w:tblHeader/>
        </w:trPr>
        <w:tc>
          <w:tcPr>
            <w:tcW w:w="562" w:type="dxa"/>
          </w:tcPr>
          <w:p w14:paraId="49EDD92E" w14:textId="7B639E15" w:rsidR="00C26E64" w:rsidRDefault="00C26E64" w:rsidP="00DB56C7">
            <w:pPr>
              <w:pStyle w:val="TableHeading"/>
              <w:rPr>
                <w:lang w:eastAsia="ja-JP"/>
              </w:rPr>
            </w:pPr>
            <w:r>
              <w:rPr>
                <w:lang w:eastAsia="ja-JP"/>
              </w:rPr>
              <w:lastRenderedPageBreak/>
              <w:t>#</w:t>
            </w:r>
          </w:p>
        </w:tc>
        <w:tc>
          <w:tcPr>
            <w:tcW w:w="3686" w:type="dxa"/>
          </w:tcPr>
          <w:p w14:paraId="44B1888A" w14:textId="694DAF02" w:rsidR="00C26E64" w:rsidRDefault="00C26E64" w:rsidP="00DB56C7">
            <w:pPr>
              <w:pStyle w:val="TableHeading"/>
              <w:rPr>
                <w:lang w:eastAsia="ja-JP"/>
              </w:rPr>
            </w:pPr>
            <w:r>
              <w:rPr>
                <w:lang w:eastAsia="ja-JP"/>
              </w:rPr>
              <w:t>Inspector-general recommendation</w:t>
            </w:r>
          </w:p>
        </w:tc>
        <w:tc>
          <w:tcPr>
            <w:tcW w:w="4768" w:type="dxa"/>
          </w:tcPr>
          <w:p w14:paraId="69CFE3E8" w14:textId="0CFAF0D9" w:rsidR="00C26E64" w:rsidRDefault="00E44C60" w:rsidP="00E44C60">
            <w:pPr>
              <w:pStyle w:val="TableHeading"/>
              <w:rPr>
                <w:lang w:eastAsia="ja-JP"/>
              </w:rPr>
            </w:pPr>
            <w:r>
              <w:rPr>
                <w:lang w:eastAsia="ja-JP"/>
              </w:rPr>
              <w:t>Department r</w:t>
            </w:r>
            <w:r w:rsidR="00C26E64">
              <w:rPr>
                <w:lang w:eastAsia="ja-JP"/>
              </w:rPr>
              <w:t>esponse</w:t>
            </w:r>
          </w:p>
        </w:tc>
      </w:tr>
      <w:tr w:rsidR="00C26E64" w14:paraId="5308C675" w14:textId="77777777" w:rsidTr="00C26E64">
        <w:tc>
          <w:tcPr>
            <w:tcW w:w="562" w:type="dxa"/>
          </w:tcPr>
          <w:p w14:paraId="7BC133FA" w14:textId="64DADA9D" w:rsidR="00C26E64" w:rsidRDefault="00C26E64" w:rsidP="00DB56C7">
            <w:pPr>
              <w:pStyle w:val="TableText"/>
              <w:rPr>
                <w:lang w:eastAsia="ja-JP"/>
              </w:rPr>
            </w:pPr>
            <w:r>
              <w:rPr>
                <w:lang w:eastAsia="ja-JP"/>
              </w:rPr>
              <w:t>1</w:t>
            </w:r>
          </w:p>
        </w:tc>
        <w:tc>
          <w:tcPr>
            <w:tcW w:w="3686" w:type="dxa"/>
          </w:tcPr>
          <w:p w14:paraId="3DF402D2" w14:textId="70542C6C" w:rsidR="00C26E64" w:rsidRDefault="00C26E64" w:rsidP="00DB56C7">
            <w:pPr>
              <w:pStyle w:val="TableText"/>
              <w:rPr>
                <w:lang w:eastAsia="ja-JP"/>
              </w:rPr>
            </w:pPr>
            <w:r w:rsidRPr="0071761D">
              <w:rPr>
                <w:lang w:val="en-US" w:eastAsia="ja-JP"/>
              </w:rPr>
              <w:t>The department should change from a three year review of the Australian Standards for the Export of Livestock to an annual update of the standards to address emerging issues and advances in scientific knowledge and technology for improved animal welfare outcomes.</w:t>
            </w:r>
          </w:p>
        </w:tc>
        <w:tc>
          <w:tcPr>
            <w:tcW w:w="4768" w:type="dxa"/>
          </w:tcPr>
          <w:p w14:paraId="683923F1" w14:textId="77777777" w:rsidR="00C26E64" w:rsidRPr="0071761D" w:rsidRDefault="00C26E64" w:rsidP="00DB56C7">
            <w:pPr>
              <w:pStyle w:val="TableText"/>
              <w:rPr>
                <w:lang w:val="en-US" w:eastAsia="ja-JP"/>
              </w:rPr>
            </w:pPr>
            <w:r w:rsidRPr="0071761D">
              <w:rPr>
                <w:lang w:val="en-US" w:eastAsia="ja-JP"/>
              </w:rPr>
              <w:t>Supported.</w:t>
            </w:r>
          </w:p>
          <w:p w14:paraId="551CF5A6" w14:textId="7324C65D" w:rsidR="00C26E64" w:rsidRDefault="00C26E64" w:rsidP="00DB56C7">
            <w:pPr>
              <w:pStyle w:val="TableText"/>
              <w:rPr>
                <w:lang w:eastAsia="ja-JP"/>
              </w:rPr>
            </w:pPr>
            <w:r w:rsidRPr="0071761D">
              <w:rPr>
                <w:lang w:val="en-US" w:eastAsia="ja-JP"/>
              </w:rPr>
              <w:t>The department is planning the next update of the ASEL for November 2021. This and future updates will include a progressive, issues-based approach in close collaboration with stakeholders. The department will assess whether annual updates are effective at addressing known and emerging issues and advances in animal welfare science and technology sufficiently, or whether alternative review processes are required in some circumstances.</w:t>
            </w:r>
          </w:p>
        </w:tc>
      </w:tr>
      <w:tr w:rsidR="00C26E64" w14:paraId="45C003A0" w14:textId="77777777" w:rsidTr="00C26E64">
        <w:tc>
          <w:tcPr>
            <w:tcW w:w="562" w:type="dxa"/>
          </w:tcPr>
          <w:p w14:paraId="12B25897" w14:textId="58C59F28" w:rsidR="00C26E64" w:rsidRDefault="00C26E64" w:rsidP="00DB56C7">
            <w:pPr>
              <w:pStyle w:val="TableText"/>
              <w:rPr>
                <w:lang w:eastAsia="ja-JP"/>
              </w:rPr>
            </w:pPr>
            <w:r>
              <w:rPr>
                <w:lang w:eastAsia="ja-JP"/>
              </w:rPr>
              <w:t>2</w:t>
            </w:r>
          </w:p>
        </w:tc>
        <w:tc>
          <w:tcPr>
            <w:tcW w:w="3686" w:type="dxa"/>
          </w:tcPr>
          <w:p w14:paraId="2D4D9140" w14:textId="77777777" w:rsidR="00C26E64" w:rsidRPr="0071761D" w:rsidRDefault="00C26E64" w:rsidP="00DB56C7">
            <w:pPr>
              <w:pStyle w:val="TableText"/>
              <w:rPr>
                <w:lang w:val="en-US" w:eastAsia="ja-JP"/>
              </w:rPr>
            </w:pPr>
            <w:r w:rsidRPr="0071761D">
              <w:rPr>
                <w:lang w:val="en-US" w:eastAsia="ja-JP"/>
              </w:rPr>
              <w:t>The department should ensure that the investment in improved IT infrastructure announced in the 2020— 21 budget:</w:t>
            </w:r>
          </w:p>
          <w:p w14:paraId="13CA0704" w14:textId="77777777" w:rsidR="00C26E64" w:rsidRPr="0071761D" w:rsidRDefault="00C26E64" w:rsidP="00DB56C7">
            <w:pPr>
              <w:pStyle w:val="TableBullet"/>
              <w:rPr>
                <w:lang w:val="en-US" w:eastAsia="ja-JP"/>
              </w:rPr>
            </w:pPr>
            <w:r w:rsidRPr="0071761D">
              <w:rPr>
                <w:lang w:val="en-US" w:eastAsia="ja-JP"/>
              </w:rPr>
              <w:t>delivers improved regulatory operations and knowledge on animal health and welfare through effective use of data and information analysis</w:t>
            </w:r>
          </w:p>
          <w:p w14:paraId="487BD1DC" w14:textId="77777777" w:rsidR="00C26E64" w:rsidRDefault="00C26E64" w:rsidP="00DB56C7">
            <w:pPr>
              <w:pStyle w:val="TableBullet"/>
              <w:rPr>
                <w:lang w:val="en-US" w:eastAsia="ja-JP"/>
              </w:rPr>
            </w:pPr>
            <w:r w:rsidRPr="0071761D">
              <w:rPr>
                <w:lang w:val="en-US" w:eastAsia="ja-JP"/>
              </w:rPr>
              <w:t>enables disparate parts of the department to operate more effectively together through real-time access to all relevant records, policy, guidance and procedures</w:t>
            </w:r>
          </w:p>
          <w:p w14:paraId="5EFD436A" w14:textId="512EC19C" w:rsidR="00C26E64" w:rsidRDefault="00C26E64" w:rsidP="00DB56C7">
            <w:pPr>
              <w:pStyle w:val="TableBullet"/>
              <w:rPr>
                <w:lang w:eastAsia="ja-JP"/>
              </w:rPr>
            </w:pPr>
            <w:r w:rsidRPr="0071761D">
              <w:rPr>
                <w:lang w:val="en-US" w:eastAsia="ja-JP"/>
              </w:rPr>
              <w:t xml:space="preserve">reduces delays and duplication for industry through streamlined application processes, </w:t>
            </w:r>
            <w:proofErr w:type="gramStart"/>
            <w:r w:rsidRPr="0071761D">
              <w:rPr>
                <w:lang w:val="en-US" w:eastAsia="ja-JP"/>
              </w:rPr>
              <w:t>decisions</w:t>
            </w:r>
            <w:proofErr w:type="gramEnd"/>
            <w:r w:rsidRPr="0071761D">
              <w:rPr>
                <w:lang w:val="en-US" w:eastAsia="ja-JP"/>
              </w:rPr>
              <w:t xml:space="preserve"> and reporting.</w:t>
            </w:r>
          </w:p>
        </w:tc>
        <w:tc>
          <w:tcPr>
            <w:tcW w:w="4768" w:type="dxa"/>
          </w:tcPr>
          <w:p w14:paraId="09C64B9A" w14:textId="77777777" w:rsidR="00C26E64" w:rsidRPr="00680244" w:rsidRDefault="00C26E64" w:rsidP="00DB56C7">
            <w:pPr>
              <w:pStyle w:val="TableText"/>
              <w:rPr>
                <w:lang w:val="en-US" w:eastAsia="ja-JP"/>
              </w:rPr>
            </w:pPr>
            <w:r w:rsidRPr="00680244">
              <w:rPr>
                <w:lang w:val="en-US" w:eastAsia="ja-JP"/>
              </w:rPr>
              <w:t>Supported.</w:t>
            </w:r>
          </w:p>
          <w:p w14:paraId="174F02D4" w14:textId="77777777" w:rsidR="00C26E64" w:rsidRDefault="00C26E64" w:rsidP="00DB56C7">
            <w:pPr>
              <w:pStyle w:val="TableText"/>
              <w:rPr>
                <w:lang w:val="en-US" w:eastAsia="ja-JP"/>
              </w:rPr>
            </w:pPr>
            <w:r w:rsidRPr="00680244">
              <w:rPr>
                <w:lang w:val="en-US" w:eastAsia="ja-JP"/>
              </w:rPr>
              <w:t xml:space="preserve">The government has funded the department to make significant investments in new digital and data products and services, building on the advances in analytics delivered in Biosecurity </w:t>
            </w:r>
            <w:proofErr w:type="spellStart"/>
            <w:r w:rsidRPr="00680244">
              <w:rPr>
                <w:lang w:val="en-US" w:eastAsia="ja-JP"/>
              </w:rPr>
              <w:t>focussed</w:t>
            </w:r>
            <w:proofErr w:type="spellEnd"/>
            <w:r w:rsidRPr="00680244">
              <w:rPr>
                <w:lang w:val="en-US" w:eastAsia="ja-JP"/>
              </w:rPr>
              <w:t xml:space="preserve"> business areas. Central to this is an approach which starts by carefully examining and understanding the needs of users and regulators in the export supply chain and will co-design services with them that reflect their needs.</w:t>
            </w:r>
          </w:p>
          <w:p w14:paraId="4D2C351D" w14:textId="77777777" w:rsidR="00C26E64" w:rsidRPr="00680244" w:rsidRDefault="00C26E64" w:rsidP="00DB56C7">
            <w:pPr>
              <w:pStyle w:val="TableText"/>
              <w:rPr>
                <w:lang w:val="en-US" w:eastAsia="ja-JP"/>
              </w:rPr>
            </w:pPr>
            <w:r w:rsidRPr="00680244">
              <w:rPr>
                <w:lang w:val="en-US" w:eastAsia="ja-JP"/>
              </w:rPr>
              <w:t xml:space="preserve">In Biosecurity, the department has successfully deployed a Pest and Disease Repository which will be used as a template model for pulling together disparate and </w:t>
            </w:r>
            <w:proofErr w:type="spellStart"/>
            <w:r w:rsidRPr="00680244">
              <w:rPr>
                <w:lang w:val="en-US" w:eastAsia="ja-JP"/>
              </w:rPr>
              <w:t>unjoined</w:t>
            </w:r>
            <w:proofErr w:type="spellEnd"/>
            <w:r w:rsidRPr="00680244">
              <w:rPr>
                <w:lang w:val="en-US" w:eastAsia="ja-JP"/>
              </w:rPr>
              <w:t xml:space="preserve"> elements of information and records. By example Pest and Disease Registry brings together 42 different data sets and reconciles them through an overarching workflow tool that allows users to access the information they need to get their job done.</w:t>
            </w:r>
          </w:p>
          <w:p w14:paraId="33FE78EC" w14:textId="77777777" w:rsidR="00C26E64" w:rsidRPr="00680244" w:rsidRDefault="00C26E64" w:rsidP="00DB56C7">
            <w:pPr>
              <w:pStyle w:val="TableText"/>
              <w:rPr>
                <w:lang w:val="en-US" w:eastAsia="ja-JP"/>
              </w:rPr>
            </w:pPr>
            <w:r w:rsidRPr="00680244">
              <w:rPr>
                <w:lang w:val="en-US" w:eastAsia="ja-JP"/>
              </w:rPr>
              <w:t xml:space="preserve">A further part of the department's planned activities is to carefully </w:t>
            </w:r>
            <w:proofErr w:type="spellStart"/>
            <w:r w:rsidRPr="00680244">
              <w:rPr>
                <w:lang w:val="en-US" w:eastAsia="ja-JP"/>
              </w:rPr>
              <w:t>analyse</w:t>
            </w:r>
            <w:proofErr w:type="spellEnd"/>
            <w:r w:rsidRPr="00680244">
              <w:rPr>
                <w:lang w:val="en-US" w:eastAsia="ja-JP"/>
              </w:rPr>
              <w:t xml:space="preserve"> current processes for all parts of our export responsibilities, including decision-making and reporting, in order to identify opportunities to </w:t>
            </w:r>
            <w:proofErr w:type="spellStart"/>
            <w:r w:rsidRPr="00680244">
              <w:rPr>
                <w:lang w:val="en-US" w:eastAsia="ja-JP"/>
              </w:rPr>
              <w:t>digitise</w:t>
            </w:r>
            <w:proofErr w:type="spellEnd"/>
            <w:r w:rsidRPr="00680244">
              <w:rPr>
                <w:lang w:val="en-US" w:eastAsia="ja-JP"/>
              </w:rPr>
              <w:t>, automate and remove non-value added steps in the process.</w:t>
            </w:r>
          </w:p>
          <w:p w14:paraId="351019F1" w14:textId="4471B1FA" w:rsidR="00C26E64" w:rsidRDefault="00C26E64" w:rsidP="00DB56C7">
            <w:pPr>
              <w:pStyle w:val="TableText"/>
              <w:rPr>
                <w:lang w:eastAsia="ja-JP"/>
              </w:rPr>
            </w:pPr>
            <w:r w:rsidRPr="00680244">
              <w:rPr>
                <w:lang w:val="en-US" w:eastAsia="ja-JP"/>
              </w:rPr>
              <w:t>There will be a strong drive to look at doing things differently, and employ innovative digital technology to get the task or outcome done. We will also consider 3rd parties, including the industry and exporters themselves, who might be able to do it better, provided the department can unambiguously assure itself that regulatory and compliance needs are being met.</w:t>
            </w:r>
          </w:p>
        </w:tc>
      </w:tr>
      <w:tr w:rsidR="00C26E64" w14:paraId="6E183A2A" w14:textId="77777777" w:rsidTr="00C26E64">
        <w:tc>
          <w:tcPr>
            <w:tcW w:w="562" w:type="dxa"/>
          </w:tcPr>
          <w:p w14:paraId="7257D921" w14:textId="49F83F1F" w:rsidR="00C26E64" w:rsidRDefault="00C26E64" w:rsidP="00DB56C7">
            <w:pPr>
              <w:pStyle w:val="TableText"/>
              <w:rPr>
                <w:lang w:eastAsia="ja-JP"/>
              </w:rPr>
            </w:pPr>
            <w:r>
              <w:rPr>
                <w:lang w:eastAsia="ja-JP"/>
              </w:rPr>
              <w:t>3</w:t>
            </w:r>
          </w:p>
        </w:tc>
        <w:tc>
          <w:tcPr>
            <w:tcW w:w="3686" w:type="dxa"/>
          </w:tcPr>
          <w:p w14:paraId="2F31B62F" w14:textId="4A378286" w:rsidR="00C26E64" w:rsidRDefault="00C26E64" w:rsidP="00DB56C7">
            <w:pPr>
              <w:pStyle w:val="TableText"/>
              <w:rPr>
                <w:lang w:eastAsia="ja-JP"/>
              </w:rPr>
            </w:pPr>
            <w:r w:rsidRPr="00680244">
              <w:rPr>
                <w:lang w:val="en-US" w:eastAsia="ja-JP"/>
              </w:rPr>
              <w:t>The department should ensure it has detailed business process maps for all live animal exports regulatory processes to support improved regulatory effectiveness and efficiency, and to inform optimal IT investment in the systems that support these processes.</w:t>
            </w:r>
          </w:p>
        </w:tc>
        <w:tc>
          <w:tcPr>
            <w:tcW w:w="4768" w:type="dxa"/>
          </w:tcPr>
          <w:p w14:paraId="4E973867" w14:textId="77777777" w:rsidR="00C26E64" w:rsidRPr="00680244" w:rsidRDefault="00C26E64" w:rsidP="00DB56C7">
            <w:pPr>
              <w:pStyle w:val="TableText"/>
              <w:rPr>
                <w:lang w:val="en-US" w:eastAsia="ja-JP"/>
              </w:rPr>
            </w:pPr>
            <w:r w:rsidRPr="00680244">
              <w:rPr>
                <w:lang w:val="en-US" w:eastAsia="ja-JP"/>
              </w:rPr>
              <w:t>Supported.</w:t>
            </w:r>
          </w:p>
          <w:p w14:paraId="2126F1D5" w14:textId="1A5BAC93" w:rsidR="00C26E64" w:rsidRDefault="00C26E64" w:rsidP="00DB56C7">
            <w:pPr>
              <w:pStyle w:val="TableText"/>
              <w:rPr>
                <w:lang w:eastAsia="ja-JP"/>
              </w:rPr>
            </w:pPr>
            <w:r w:rsidRPr="00680244">
              <w:rPr>
                <w:lang w:val="en-US" w:eastAsia="ja-JP"/>
              </w:rPr>
              <w:t>To support the introduction of the Export Control Act 2020, the department is reviewing its business and regulatory decision-making processes to ensure they continue to align with legislative requirements. This work will provide a sound platform for a new and comprehensive business process mapping exercise to support the development of improved IT infrastructure, as announced in the 2020-21 budget. Business process mapping will be undertaken in</w:t>
            </w:r>
            <w:r>
              <w:rPr>
                <w:lang w:val="en-US" w:eastAsia="ja-JP"/>
              </w:rPr>
              <w:t xml:space="preserve"> </w:t>
            </w:r>
            <w:r w:rsidRPr="00680244">
              <w:rPr>
                <w:lang w:val="en-US" w:eastAsia="ja-JP"/>
              </w:rPr>
              <w:t>department will take a user co-design approach in developing new IT systems, including any external interfaces that may be used by industry.</w:t>
            </w:r>
          </w:p>
        </w:tc>
      </w:tr>
      <w:tr w:rsidR="00C26E64" w14:paraId="0CDC52DD" w14:textId="77777777" w:rsidTr="00C26E64">
        <w:tc>
          <w:tcPr>
            <w:tcW w:w="562" w:type="dxa"/>
          </w:tcPr>
          <w:p w14:paraId="327C4988" w14:textId="589FDF7B" w:rsidR="00C26E64" w:rsidRDefault="00C26E64" w:rsidP="00DB56C7">
            <w:pPr>
              <w:pStyle w:val="TableText"/>
              <w:rPr>
                <w:lang w:eastAsia="ja-JP"/>
              </w:rPr>
            </w:pPr>
            <w:r>
              <w:rPr>
                <w:lang w:eastAsia="ja-JP"/>
              </w:rPr>
              <w:lastRenderedPageBreak/>
              <w:t>4</w:t>
            </w:r>
          </w:p>
        </w:tc>
        <w:tc>
          <w:tcPr>
            <w:tcW w:w="3686" w:type="dxa"/>
          </w:tcPr>
          <w:p w14:paraId="7FAE3623" w14:textId="77777777" w:rsidR="00C26E64" w:rsidRPr="00680244" w:rsidRDefault="00C26E64" w:rsidP="00DB56C7">
            <w:pPr>
              <w:pStyle w:val="TableText"/>
              <w:rPr>
                <w:lang w:val="en-US" w:eastAsia="ja-JP"/>
              </w:rPr>
            </w:pPr>
            <w:r w:rsidRPr="00680244">
              <w:rPr>
                <w:lang w:val="en-US" w:eastAsia="ja-JP"/>
              </w:rPr>
              <w:t>That the department address the challenge that dispersed regulatory functions pose to improved regulatory practice. This could include:</w:t>
            </w:r>
          </w:p>
          <w:p w14:paraId="595FDD71" w14:textId="77777777" w:rsidR="00C26E64" w:rsidRPr="00680244" w:rsidRDefault="00C26E64" w:rsidP="00DB56C7">
            <w:pPr>
              <w:pStyle w:val="TableBullet"/>
              <w:rPr>
                <w:lang w:val="en-US" w:eastAsia="ja-JP"/>
              </w:rPr>
            </w:pPr>
            <w:r w:rsidRPr="00680244">
              <w:rPr>
                <w:lang w:val="en-US" w:eastAsia="ja-JP"/>
              </w:rPr>
              <w:t>accelerating the expansion of the role of the Principal Regulatory Officer consistent with its original intent</w:t>
            </w:r>
          </w:p>
          <w:p w14:paraId="4DBF1449" w14:textId="77777777" w:rsidR="00C26E64" w:rsidRPr="00680244" w:rsidRDefault="00C26E64" w:rsidP="00DB56C7">
            <w:pPr>
              <w:pStyle w:val="TableBullet"/>
              <w:rPr>
                <w:lang w:val="en-US" w:eastAsia="ja-JP"/>
              </w:rPr>
            </w:pPr>
            <w:r w:rsidRPr="00680244">
              <w:rPr>
                <w:lang w:val="en-US" w:eastAsia="ja-JP"/>
              </w:rPr>
              <w:t>secondments and placements of staff from relevant functional regulatory areas into the Plant and Live Animal Exports Division</w:t>
            </w:r>
          </w:p>
          <w:p w14:paraId="651DAC03" w14:textId="367A255D" w:rsidR="00C26E64" w:rsidRDefault="00C26E64" w:rsidP="00DB56C7">
            <w:pPr>
              <w:pStyle w:val="TableBullet"/>
              <w:rPr>
                <w:lang w:eastAsia="ja-JP"/>
              </w:rPr>
            </w:pPr>
            <w:r w:rsidRPr="00680244">
              <w:rPr>
                <w:lang w:val="en-US" w:eastAsia="ja-JP"/>
              </w:rPr>
              <w:t>instituting cross-functional multi-disciplinary projects at strategic and operational levels as a business-as-usual approach to compliance monitoring.</w:t>
            </w:r>
          </w:p>
        </w:tc>
        <w:tc>
          <w:tcPr>
            <w:tcW w:w="4768" w:type="dxa"/>
          </w:tcPr>
          <w:p w14:paraId="06F82965" w14:textId="77777777" w:rsidR="00C26E64" w:rsidRPr="00680244" w:rsidRDefault="00C26E64" w:rsidP="00DB56C7">
            <w:pPr>
              <w:pStyle w:val="TableText"/>
              <w:rPr>
                <w:lang w:val="en-US" w:eastAsia="ja-JP"/>
              </w:rPr>
            </w:pPr>
            <w:r w:rsidRPr="00680244">
              <w:rPr>
                <w:lang w:val="en-US" w:eastAsia="ja-JP"/>
              </w:rPr>
              <w:t>Support in principle.</w:t>
            </w:r>
          </w:p>
          <w:p w14:paraId="7958BB8A" w14:textId="77777777" w:rsidR="00C26E64" w:rsidRPr="00680244" w:rsidRDefault="00C26E64" w:rsidP="00DB56C7">
            <w:pPr>
              <w:pStyle w:val="TableText"/>
              <w:rPr>
                <w:lang w:val="en-US" w:eastAsia="ja-JP"/>
              </w:rPr>
            </w:pPr>
            <w:r w:rsidRPr="00680244">
              <w:rPr>
                <w:lang w:val="en-US" w:eastAsia="ja-JP"/>
              </w:rPr>
              <w:t>The issue of potential disconnect across regulatory areas of the department and how to address is a key issue for the department. The Future Department Review released in November notes "At times, there is a disconnect between the policy and operational parts of the department, which leads to unclear lines of responsibility and potentially impractical policies."</w:t>
            </w:r>
          </w:p>
          <w:p w14:paraId="5C1F91A5" w14:textId="77777777" w:rsidR="00C26E64" w:rsidRPr="00680244" w:rsidRDefault="00C26E64" w:rsidP="00DB56C7">
            <w:pPr>
              <w:pStyle w:val="TableText"/>
              <w:rPr>
                <w:lang w:val="en-US" w:eastAsia="ja-JP"/>
              </w:rPr>
            </w:pPr>
            <w:r w:rsidRPr="00680244">
              <w:rPr>
                <w:lang w:val="en-US" w:eastAsia="ja-JP"/>
              </w:rPr>
              <w:t xml:space="preserve">The department is already addressing this in a number of ways. In addition to the progress on the development and implementation of the Regulatory Practice Statement, the Regulatory Practice Committee works across the department to improve regulatory practice, encourage consistency and work through roles and continues to address issues related to regulatory practice across the </w:t>
            </w:r>
            <w:proofErr w:type="spellStart"/>
            <w:r w:rsidRPr="00680244">
              <w:rPr>
                <w:lang w:val="en-US" w:eastAsia="ja-JP"/>
              </w:rPr>
              <w:t>organisation</w:t>
            </w:r>
            <w:proofErr w:type="spellEnd"/>
            <w:r w:rsidRPr="00680244">
              <w:rPr>
                <w:lang w:val="en-US" w:eastAsia="ja-JP"/>
              </w:rPr>
              <w:t>. Since the Moss Review, machinery of government changes have broadened the department's regulatory reach, and the Regulatory Practice Committee has been an effective approach to managing shared regulatory practice issues. While it is not planned for the PRO position to expand in the immediate term, the PRO is deeply involved in the work of the Regulatory Practice Committee, as well as being a member of the department's Risk Committee.</w:t>
            </w:r>
          </w:p>
          <w:p w14:paraId="4223522A" w14:textId="77777777" w:rsidR="00C26E64" w:rsidRPr="00680244" w:rsidRDefault="00C26E64" w:rsidP="00DB56C7">
            <w:pPr>
              <w:pStyle w:val="TableText"/>
              <w:rPr>
                <w:lang w:val="en-US" w:eastAsia="ja-JP"/>
              </w:rPr>
            </w:pPr>
            <w:r w:rsidRPr="00680244">
              <w:rPr>
                <w:lang w:val="en-US" w:eastAsia="ja-JP"/>
              </w:rPr>
              <w:t>Export-related divisions within the department are also looking closely at processes and approaches to Instructional Material. A key recommendation of a preliminary report on instructional material</w:t>
            </w:r>
            <w:r>
              <w:rPr>
                <w:lang w:val="en-US" w:eastAsia="ja-JP"/>
              </w:rPr>
              <w:t xml:space="preserve"> </w:t>
            </w:r>
            <w:r w:rsidRPr="00680244">
              <w:rPr>
                <w:lang w:val="en-US" w:eastAsia="ja-JP"/>
              </w:rPr>
              <w:t>Animal Exports Branch has been using this methodology for some time, ensuring that practitioner input is a key part of the process and that front-line regulatory staff are in the team, rather than just consulted.</w:t>
            </w:r>
          </w:p>
          <w:p w14:paraId="6013EC53" w14:textId="77777777" w:rsidR="00C26E64" w:rsidRPr="00680244" w:rsidRDefault="00C26E64" w:rsidP="00DB56C7">
            <w:pPr>
              <w:pStyle w:val="TableText"/>
              <w:rPr>
                <w:lang w:val="en-US" w:eastAsia="ja-JP"/>
              </w:rPr>
            </w:pPr>
            <w:r w:rsidRPr="00680244">
              <w:rPr>
                <w:lang w:val="en-US" w:eastAsia="ja-JP"/>
              </w:rPr>
              <w:t>Further, Plant and Live Animal Export Division, along with the rest of the</w:t>
            </w:r>
          </w:p>
          <w:p w14:paraId="775E0889" w14:textId="77777777" w:rsidR="00C26E64" w:rsidRPr="00680244" w:rsidRDefault="00C26E64" w:rsidP="00DB56C7">
            <w:pPr>
              <w:pStyle w:val="TableText"/>
              <w:rPr>
                <w:lang w:val="en-US" w:eastAsia="ja-JP"/>
              </w:rPr>
            </w:pPr>
            <w:r w:rsidRPr="00680244">
              <w:rPr>
                <w:lang w:val="en-US" w:eastAsia="ja-JP"/>
              </w:rPr>
              <w:t>Agricultural Trade Group, is moving to use Agile project methodology for much of its work. This includes establishing multi-disciplinary teams to tackle projects. As the division becomes more mature in using Agile methodology to run projects, it could examine whether this approach could be used to as a business-as-usual approach to compliance monitoring.</w:t>
            </w:r>
          </w:p>
          <w:p w14:paraId="6D7A6E8C" w14:textId="77777777" w:rsidR="00C26E64" w:rsidRPr="00680244" w:rsidRDefault="00C26E64" w:rsidP="00DB56C7">
            <w:pPr>
              <w:pStyle w:val="TableText"/>
              <w:rPr>
                <w:lang w:val="en-US" w:eastAsia="ja-JP"/>
              </w:rPr>
            </w:pPr>
            <w:r w:rsidRPr="00680244">
              <w:rPr>
                <w:lang w:val="en-US" w:eastAsia="ja-JP"/>
              </w:rPr>
              <w:t>The Management Review Committee also operates across the dispersed functions of live animal export regulation to discuss and agree upon approaches to shared issues. This Committee will continue to strengthen oversight, information sharing and common regulatory attitudes and approaches.</w:t>
            </w:r>
          </w:p>
          <w:p w14:paraId="0CEFD797" w14:textId="77777777" w:rsidR="00C26E64" w:rsidRPr="00680244" w:rsidRDefault="00C26E64" w:rsidP="00DB56C7">
            <w:pPr>
              <w:pStyle w:val="TableText"/>
              <w:rPr>
                <w:lang w:val="en-US" w:eastAsia="ja-JP"/>
              </w:rPr>
            </w:pPr>
            <w:r w:rsidRPr="00680244">
              <w:rPr>
                <w:lang w:val="en-US" w:eastAsia="ja-JP"/>
              </w:rPr>
              <w:t>The division has used secondments to bring in staff on an ad-hoc basis.</w:t>
            </w:r>
          </w:p>
          <w:p w14:paraId="3E5CE57A" w14:textId="682E7087" w:rsidR="00C26E64" w:rsidRDefault="00C26E64" w:rsidP="00DB56C7">
            <w:pPr>
              <w:pStyle w:val="TableText"/>
              <w:rPr>
                <w:lang w:eastAsia="ja-JP"/>
              </w:rPr>
            </w:pPr>
            <w:r w:rsidRPr="00680244">
              <w:rPr>
                <w:lang w:val="en-US" w:eastAsia="ja-JP"/>
              </w:rPr>
              <w:t>Most recently, staff from the VEMG were seconded to help with ASEL 3 implementation. The division will continue to look to do this for specific tasks subject to timing and availability of staff in other divisions.</w:t>
            </w:r>
          </w:p>
        </w:tc>
      </w:tr>
    </w:tbl>
    <w:p w14:paraId="36E2A66F" w14:textId="2AF3BBF7" w:rsidR="0037491C" w:rsidRPr="00A266AB" w:rsidRDefault="00420862" w:rsidP="00E539FC">
      <w:pPr>
        <w:pStyle w:val="Heading2"/>
        <w:numPr>
          <w:ilvl w:val="0"/>
          <w:numId w:val="0"/>
        </w:numPr>
        <w:rPr>
          <w:rStyle w:val="Strong"/>
        </w:rPr>
      </w:pPr>
      <w:bookmarkStart w:id="60" w:name="_Appendix_B:_Department"/>
      <w:bookmarkStart w:id="61" w:name="_Toc58774291"/>
      <w:bookmarkEnd w:id="60"/>
      <w:r>
        <w:lastRenderedPageBreak/>
        <w:t>Appendix B</w:t>
      </w:r>
      <w:r w:rsidR="00295785">
        <w:t xml:space="preserve">: </w:t>
      </w:r>
      <w:bookmarkEnd w:id="58"/>
      <w:r w:rsidR="00E539FC">
        <w:t>List of submissions</w:t>
      </w:r>
      <w:bookmarkEnd w:id="61"/>
    </w:p>
    <w:p w14:paraId="427DF7A3" w14:textId="03D7472E" w:rsidR="00295785" w:rsidRPr="00B7620F" w:rsidRDefault="00295785" w:rsidP="00B719F3">
      <w:r>
        <w:t xml:space="preserve">The </w:t>
      </w:r>
      <w:r w:rsidR="005E227B">
        <w:t>i</w:t>
      </w:r>
      <w:r w:rsidR="00701AF0">
        <w:t>nspector-</w:t>
      </w:r>
      <w:r w:rsidR="005E227B">
        <w:t>g</w:t>
      </w:r>
      <w:r w:rsidR="00701AF0">
        <w:t xml:space="preserve">eneral’s </w:t>
      </w:r>
      <w:r>
        <w:t xml:space="preserve">review team </w:t>
      </w:r>
      <w:r w:rsidR="00701AF0">
        <w:t>received</w:t>
      </w:r>
      <w:r>
        <w:t xml:space="preserve"> </w:t>
      </w:r>
      <w:r w:rsidR="0055071B">
        <w:t xml:space="preserve">12 </w:t>
      </w:r>
      <w:r>
        <w:t>submissions from the following organisations, groups and individuals. To respect their privacy, confidential</w:t>
      </w:r>
      <w:r w:rsidR="00FB4CD5">
        <w:t xml:space="preserve"> submissions</w:t>
      </w:r>
      <w:r>
        <w:t xml:space="preserve"> have not been identified</w:t>
      </w:r>
      <w:r w:rsidR="00FB4CD5">
        <w:t>.</w:t>
      </w:r>
      <w:bookmarkStart w:id="62" w:name="_Toc430782162"/>
    </w:p>
    <w:tbl>
      <w:tblPr>
        <w:tblStyle w:val="TableGrid"/>
        <w:tblW w:w="0" w:type="auto"/>
        <w:tblLook w:val="04A0" w:firstRow="1" w:lastRow="0" w:firstColumn="1" w:lastColumn="0" w:noHBand="0" w:noVBand="1"/>
      </w:tblPr>
      <w:tblGrid>
        <w:gridCol w:w="5354"/>
        <w:gridCol w:w="3662"/>
      </w:tblGrid>
      <w:tr w:rsidR="00295785" w14:paraId="2A255BEB" w14:textId="77777777" w:rsidTr="008B722B">
        <w:trPr>
          <w:cantSplit/>
          <w:tblHeader/>
        </w:trPr>
        <w:tc>
          <w:tcPr>
            <w:tcW w:w="5354" w:type="dxa"/>
          </w:tcPr>
          <w:p w14:paraId="7591F2FE" w14:textId="77777777" w:rsidR="00295785" w:rsidRDefault="00295785" w:rsidP="00B719F3">
            <w:pPr>
              <w:pStyle w:val="TableHeading"/>
            </w:pPr>
            <w:r>
              <w:t>Name of organisation</w:t>
            </w:r>
          </w:p>
        </w:tc>
        <w:tc>
          <w:tcPr>
            <w:tcW w:w="3662" w:type="dxa"/>
          </w:tcPr>
          <w:p w14:paraId="7B23DEC0" w14:textId="77777777" w:rsidR="00295785" w:rsidRDefault="00295785" w:rsidP="00B719F3">
            <w:pPr>
              <w:pStyle w:val="TableHeading"/>
            </w:pPr>
            <w:r>
              <w:t>Type of organisation</w:t>
            </w:r>
          </w:p>
        </w:tc>
      </w:tr>
      <w:tr w:rsidR="00295785" w14:paraId="7BD655DC" w14:textId="77777777" w:rsidTr="0013684A">
        <w:tc>
          <w:tcPr>
            <w:tcW w:w="5354" w:type="dxa"/>
          </w:tcPr>
          <w:p w14:paraId="76441D0F" w14:textId="4A1FA8AC" w:rsidR="00295785" w:rsidRPr="001F5080" w:rsidRDefault="008B579B">
            <w:pPr>
              <w:pStyle w:val="TableText"/>
            </w:pPr>
            <w:r>
              <w:t>A</w:t>
            </w:r>
            <w:r w:rsidR="00AF2DAD">
              <w:t xml:space="preserve">ustralian </w:t>
            </w:r>
            <w:r>
              <w:t>L</w:t>
            </w:r>
            <w:r w:rsidR="00AF2DAD">
              <w:t xml:space="preserve">ivestock </w:t>
            </w:r>
            <w:r>
              <w:t>E</w:t>
            </w:r>
            <w:r w:rsidR="00AF2DAD">
              <w:t xml:space="preserve">xporters’ </w:t>
            </w:r>
            <w:r>
              <w:t>C</w:t>
            </w:r>
            <w:r w:rsidR="00AF2DAD">
              <w:t>ouncil</w:t>
            </w:r>
            <w:r w:rsidR="00701AF0">
              <w:t xml:space="preserve"> (ALEC)</w:t>
            </w:r>
          </w:p>
        </w:tc>
        <w:tc>
          <w:tcPr>
            <w:tcW w:w="3662" w:type="dxa"/>
          </w:tcPr>
          <w:p w14:paraId="2E1BCEB9" w14:textId="6DC9AB3C" w:rsidR="00295785" w:rsidRPr="001F5080" w:rsidRDefault="00186958">
            <w:pPr>
              <w:pStyle w:val="TableText"/>
            </w:pPr>
            <w:r>
              <w:t>I</w:t>
            </w:r>
            <w:r w:rsidR="008B579B">
              <w:t>ndustry</w:t>
            </w:r>
            <w:r w:rsidR="00BD57B1">
              <w:t xml:space="preserve"> peak body</w:t>
            </w:r>
          </w:p>
        </w:tc>
      </w:tr>
      <w:tr w:rsidR="008B579B" w14:paraId="0F492825" w14:textId="77777777" w:rsidTr="0013684A">
        <w:tc>
          <w:tcPr>
            <w:tcW w:w="5354" w:type="dxa"/>
          </w:tcPr>
          <w:p w14:paraId="0CC3EF21" w14:textId="113C1299" w:rsidR="008B579B" w:rsidRDefault="008B579B">
            <w:pPr>
              <w:pStyle w:val="TableText"/>
            </w:pPr>
            <w:r>
              <w:t>Cattle Council of Australia</w:t>
            </w:r>
          </w:p>
        </w:tc>
        <w:tc>
          <w:tcPr>
            <w:tcW w:w="3662" w:type="dxa"/>
          </w:tcPr>
          <w:p w14:paraId="53B985A7" w14:textId="248D4DBE" w:rsidR="008B579B" w:rsidRDefault="008B579B">
            <w:pPr>
              <w:pStyle w:val="TableText"/>
            </w:pPr>
            <w:r>
              <w:t>Exporter and industry</w:t>
            </w:r>
          </w:p>
        </w:tc>
      </w:tr>
      <w:tr w:rsidR="0013684A" w14:paraId="6A45DE6A" w14:textId="77777777" w:rsidTr="0013684A">
        <w:tc>
          <w:tcPr>
            <w:tcW w:w="5354" w:type="dxa"/>
          </w:tcPr>
          <w:p w14:paraId="49A1602C" w14:textId="38533BD9" w:rsidR="0013684A" w:rsidRDefault="0013684A">
            <w:pPr>
              <w:pStyle w:val="TableText"/>
            </w:pPr>
            <w:r>
              <w:t>National Farmers’ Federation</w:t>
            </w:r>
          </w:p>
        </w:tc>
        <w:tc>
          <w:tcPr>
            <w:tcW w:w="3662" w:type="dxa"/>
          </w:tcPr>
          <w:p w14:paraId="4EF363BB" w14:textId="6CBAFCDA" w:rsidR="0013684A" w:rsidRDefault="0013684A">
            <w:pPr>
              <w:pStyle w:val="TableText"/>
            </w:pPr>
            <w:r>
              <w:t>Industry</w:t>
            </w:r>
            <w:r w:rsidR="00BD57B1">
              <w:t xml:space="preserve"> peak body</w:t>
            </w:r>
          </w:p>
        </w:tc>
      </w:tr>
      <w:tr w:rsidR="0013684A" w14:paraId="0EC29925" w14:textId="77777777" w:rsidTr="008B579B">
        <w:tc>
          <w:tcPr>
            <w:tcW w:w="5354" w:type="dxa"/>
          </w:tcPr>
          <w:p w14:paraId="2F647972" w14:textId="530FB3BD" w:rsidR="0013684A" w:rsidRDefault="0013684A">
            <w:pPr>
              <w:pStyle w:val="TableText"/>
            </w:pPr>
            <w:r w:rsidRPr="0013684A">
              <w:t>Northern Australian Live Export Working Group</w:t>
            </w:r>
          </w:p>
        </w:tc>
        <w:tc>
          <w:tcPr>
            <w:tcW w:w="3662" w:type="dxa"/>
          </w:tcPr>
          <w:p w14:paraId="3C93D797" w14:textId="257A1185" w:rsidR="0013684A" w:rsidRDefault="0013684A">
            <w:pPr>
              <w:pStyle w:val="TableText"/>
            </w:pPr>
            <w:r>
              <w:t>Exporter and industry</w:t>
            </w:r>
          </w:p>
        </w:tc>
      </w:tr>
      <w:tr w:rsidR="008B579B" w14:paraId="14DA919F" w14:textId="77777777" w:rsidTr="008B579B">
        <w:tc>
          <w:tcPr>
            <w:tcW w:w="5354" w:type="dxa"/>
          </w:tcPr>
          <w:p w14:paraId="01D95AD1" w14:textId="5651219F" w:rsidR="008B579B" w:rsidRPr="001F5080" w:rsidRDefault="008B579B">
            <w:pPr>
              <w:pStyle w:val="TableText"/>
            </w:pPr>
            <w:r>
              <w:t>RSPCA Australia</w:t>
            </w:r>
          </w:p>
        </w:tc>
        <w:tc>
          <w:tcPr>
            <w:tcW w:w="3662" w:type="dxa"/>
          </w:tcPr>
          <w:p w14:paraId="0A7DBD79" w14:textId="39463AF8" w:rsidR="008B579B" w:rsidRDefault="008B579B">
            <w:pPr>
              <w:pStyle w:val="TableText"/>
            </w:pPr>
            <w:r>
              <w:t>Animal welfare</w:t>
            </w:r>
          </w:p>
        </w:tc>
      </w:tr>
      <w:tr w:rsidR="008B579B" w14:paraId="6FB31F67" w14:textId="77777777" w:rsidTr="008B579B">
        <w:tc>
          <w:tcPr>
            <w:tcW w:w="5354" w:type="dxa"/>
          </w:tcPr>
          <w:p w14:paraId="20E001A4" w14:textId="20E13E29" w:rsidR="008B579B" w:rsidRDefault="008B579B">
            <w:pPr>
              <w:pStyle w:val="TableText"/>
            </w:pPr>
            <w:r>
              <w:t>Sentient</w:t>
            </w:r>
          </w:p>
        </w:tc>
        <w:tc>
          <w:tcPr>
            <w:tcW w:w="3662" w:type="dxa"/>
          </w:tcPr>
          <w:p w14:paraId="4CABA3AE" w14:textId="45C8A06A" w:rsidR="008B579B" w:rsidRDefault="008B579B">
            <w:pPr>
              <w:pStyle w:val="TableText"/>
            </w:pPr>
            <w:r>
              <w:t>Animal welfare</w:t>
            </w:r>
          </w:p>
        </w:tc>
      </w:tr>
      <w:tr w:rsidR="008B579B" w14:paraId="57AE2ADB" w14:textId="77777777" w:rsidTr="008B579B">
        <w:tc>
          <w:tcPr>
            <w:tcW w:w="5354" w:type="dxa"/>
          </w:tcPr>
          <w:p w14:paraId="20112FE2" w14:textId="2DDC05B1" w:rsidR="008B579B" w:rsidRPr="001F5080" w:rsidRDefault="008B579B">
            <w:pPr>
              <w:pStyle w:val="TableText"/>
            </w:pPr>
            <w:r>
              <w:t>Sheep Producers Australia</w:t>
            </w:r>
          </w:p>
        </w:tc>
        <w:tc>
          <w:tcPr>
            <w:tcW w:w="3662" w:type="dxa"/>
          </w:tcPr>
          <w:p w14:paraId="4E66C55C" w14:textId="0183AF53" w:rsidR="008B579B" w:rsidRPr="00793698" w:rsidRDefault="008B579B">
            <w:pPr>
              <w:pStyle w:val="TableText"/>
            </w:pPr>
            <w:r>
              <w:t>Industry</w:t>
            </w:r>
          </w:p>
        </w:tc>
      </w:tr>
      <w:tr w:rsidR="00701AF0" w14:paraId="18CDA5BF" w14:textId="77777777" w:rsidTr="008B579B">
        <w:tc>
          <w:tcPr>
            <w:tcW w:w="5354" w:type="dxa"/>
          </w:tcPr>
          <w:p w14:paraId="3697697C" w14:textId="1C08DA77" w:rsidR="00701AF0" w:rsidRDefault="00701AF0" w:rsidP="00701AF0">
            <w:pPr>
              <w:pStyle w:val="TableText"/>
            </w:pPr>
            <w:r>
              <w:t>Simpson</w:t>
            </w:r>
            <w:r w:rsidR="00801413">
              <w:t>,</w:t>
            </w:r>
            <w:r>
              <w:t xml:space="preserve"> </w:t>
            </w:r>
            <w:r w:rsidR="00801413">
              <w:t>Dr Lynn</w:t>
            </w:r>
          </w:p>
        </w:tc>
        <w:tc>
          <w:tcPr>
            <w:tcW w:w="3662" w:type="dxa"/>
          </w:tcPr>
          <w:p w14:paraId="69B67C5B" w14:textId="18D3422D" w:rsidR="00701AF0" w:rsidRDefault="00701AF0" w:rsidP="00701AF0">
            <w:pPr>
              <w:pStyle w:val="TableText"/>
            </w:pPr>
            <w:r>
              <w:t>Veterinary</w:t>
            </w:r>
          </w:p>
        </w:tc>
      </w:tr>
      <w:tr w:rsidR="008B579B" w14:paraId="563C3DF3" w14:textId="77777777" w:rsidTr="008B579B">
        <w:tc>
          <w:tcPr>
            <w:tcW w:w="5354" w:type="dxa"/>
          </w:tcPr>
          <w:p w14:paraId="3CF4317D" w14:textId="6CD3193C" w:rsidR="008B579B" w:rsidRPr="001F5080" w:rsidRDefault="008B579B">
            <w:pPr>
              <w:pStyle w:val="TableText"/>
            </w:pPr>
            <w:r>
              <w:t>Vets Against Live Exports</w:t>
            </w:r>
          </w:p>
        </w:tc>
        <w:tc>
          <w:tcPr>
            <w:tcW w:w="3662" w:type="dxa"/>
          </w:tcPr>
          <w:p w14:paraId="7F1B5296" w14:textId="296340E7" w:rsidR="008B579B" w:rsidRPr="001F5080" w:rsidRDefault="008B579B">
            <w:pPr>
              <w:pStyle w:val="TableText"/>
            </w:pPr>
            <w:r>
              <w:t>Veterinary</w:t>
            </w:r>
          </w:p>
        </w:tc>
      </w:tr>
      <w:tr w:rsidR="008B579B" w14:paraId="572DDAB8" w14:textId="77777777" w:rsidTr="008B579B">
        <w:tc>
          <w:tcPr>
            <w:tcW w:w="5354" w:type="dxa"/>
          </w:tcPr>
          <w:p w14:paraId="60217E0C" w14:textId="40E8F154" w:rsidR="008B579B" w:rsidRPr="001F5080" w:rsidRDefault="008B579B" w:rsidP="00EB1018">
            <w:pPr>
              <w:pStyle w:val="TableText"/>
            </w:pPr>
            <w:r>
              <w:t>Wellard Limited</w:t>
            </w:r>
          </w:p>
        </w:tc>
        <w:tc>
          <w:tcPr>
            <w:tcW w:w="3662" w:type="dxa"/>
          </w:tcPr>
          <w:p w14:paraId="7FED8C57" w14:textId="5FBDA8E2" w:rsidR="008B579B" w:rsidRPr="001F5080" w:rsidRDefault="008B579B">
            <w:pPr>
              <w:pStyle w:val="TableText"/>
            </w:pPr>
            <w:r>
              <w:t>Industry</w:t>
            </w:r>
          </w:p>
        </w:tc>
      </w:tr>
    </w:tbl>
    <w:p w14:paraId="328F499C" w14:textId="43A5DC8C" w:rsidR="00295785" w:rsidRPr="009F04BF" w:rsidRDefault="00295785" w:rsidP="008E4936">
      <w:pPr>
        <w:tabs>
          <w:tab w:val="left" w:pos="2880"/>
        </w:tabs>
      </w:pPr>
      <w:bookmarkStart w:id="63" w:name="_Appendix_D:_Figure"/>
      <w:bookmarkStart w:id="64" w:name="_Appendix_D:_Department"/>
      <w:bookmarkStart w:id="65" w:name="_Appendix_C:_Department"/>
      <w:bookmarkStart w:id="66" w:name="_Appendix_E:_Daily"/>
      <w:bookmarkEnd w:id="63"/>
      <w:bookmarkEnd w:id="64"/>
      <w:bookmarkEnd w:id="65"/>
      <w:bookmarkEnd w:id="66"/>
    </w:p>
    <w:p w14:paraId="3E07A151" w14:textId="77777777" w:rsidR="00295785" w:rsidRPr="00C249B7" w:rsidRDefault="00295785" w:rsidP="00295785">
      <w:pPr>
        <w:pStyle w:val="Heading2"/>
        <w:numPr>
          <w:ilvl w:val="0"/>
          <w:numId w:val="0"/>
        </w:numPr>
        <w:rPr>
          <w:color w:val="000000" w:themeColor="text1"/>
        </w:rPr>
      </w:pPr>
      <w:bookmarkStart w:id="67" w:name="_Appendix_F:_End"/>
      <w:bookmarkStart w:id="68" w:name="_Toc58774292"/>
      <w:bookmarkEnd w:id="62"/>
      <w:bookmarkEnd w:id="67"/>
      <w:r w:rsidRPr="00C249B7">
        <w:rPr>
          <w:color w:val="000000" w:themeColor="text1"/>
        </w:rPr>
        <w:lastRenderedPageBreak/>
        <w:t>References</w:t>
      </w:r>
      <w:bookmarkEnd w:id="68"/>
    </w:p>
    <w:p w14:paraId="5A8C0F29" w14:textId="62B10045" w:rsidR="00152159" w:rsidRDefault="00152159" w:rsidP="00905F94">
      <w:pPr>
        <w:rPr>
          <w:lang w:eastAsia="ja-JP"/>
        </w:rPr>
      </w:pPr>
      <w:r w:rsidRPr="007E106B">
        <w:rPr>
          <w:lang w:eastAsia="ja-JP"/>
        </w:rPr>
        <w:t xml:space="preserve">ALEC 2020, </w:t>
      </w:r>
      <w:hyperlink r:id="rId34" w:history="1">
        <w:r w:rsidR="00B02357">
          <w:rPr>
            <w:rStyle w:val="Hyperlink"/>
            <w:lang w:eastAsia="ja-JP"/>
          </w:rPr>
          <w:t>Submission to the Inspector-General of Live Animal Exports review</w:t>
        </w:r>
      </w:hyperlink>
      <w:r w:rsidRPr="007E106B">
        <w:rPr>
          <w:lang w:eastAsia="ja-JP"/>
        </w:rPr>
        <w:t xml:space="preserve">, Australian Livestock Exporters’ Council, </w:t>
      </w:r>
      <w:r w:rsidR="00A97E7A" w:rsidRPr="007E106B">
        <w:rPr>
          <w:lang w:eastAsia="ja-JP"/>
        </w:rPr>
        <w:t xml:space="preserve">Canberra, </w:t>
      </w:r>
      <w:r w:rsidRPr="007E106B">
        <w:rPr>
          <w:lang w:eastAsia="ja-JP"/>
        </w:rPr>
        <w:t>September</w:t>
      </w:r>
      <w:r w:rsidRPr="00642AE5">
        <w:rPr>
          <w:lang w:eastAsia="ja-JP"/>
        </w:rPr>
        <w:t>.</w:t>
      </w:r>
    </w:p>
    <w:p w14:paraId="30D39077" w14:textId="629FB009" w:rsidR="001176CF" w:rsidRDefault="001176CF" w:rsidP="00905F94">
      <w:pPr>
        <w:rPr>
          <w:lang w:eastAsia="ja-JP"/>
        </w:rPr>
      </w:pPr>
      <w:r w:rsidRPr="001176CF">
        <w:rPr>
          <w:lang w:eastAsia="ja-JP"/>
        </w:rPr>
        <w:t xml:space="preserve">ASEL Review Technical Advisory Committee 2018, </w:t>
      </w:r>
      <w:hyperlink r:id="rId35" w:history="1">
        <w:r w:rsidRPr="001176CF">
          <w:rPr>
            <w:rStyle w:val="Hyperlink"/>
            <w:lang w:eastAsia="ja-JP"/>
          </w:rPr>
          <w:t>Review of the Australian Standards for the Export of Livestock: Sea Transport</w:t>
        </w:r>
        <w:r w:rsidR="000975F5">
          <w:rPr>
            <w:rStyle w:val="Hyperlink"/>
            <w:lang w:eastAsia="ja-JP"/>
          </w:rPr>
          <w:t xml:space="preserve"> – </w:t>
        </w:r>
        <w:r w:rsidRPr="001176CF">
          <w:rPr>
            <w:rStyle w:val="Hyperlink"/>
            <w:lang w:eastAsia="ja-JP"/>
          </w:rPr>
          <w:t>final report</w:t>
        </w:r>
      </w:hyperlink>
      <w:r w:rsidRPr="001176CF">
        <w:rPr>
          <w:lang w:eastAsia="ja-JP"/>
        </w:rPr>
        <w:t>, Department of Agriculture and Water Resources, Canberra, December</w:t>
      </w:r>
      <w:r w:rsidR="002012DC">
        <w:rPr>
          <w:lang w:eastAsia="ja-JP"/>
        </w:rPr>
        <w:t xml:space="preserve">, </w:t>
      </w:r>
      <w:r w:rsidR="002012DC" w:rsidRPr="00642AE5">
        <w:rPr>
          <w:lang w:eastAsia="ja-JP"/>
        </w:rPr>
        <w:t>accessed 12 June 2020</w:t>
      </w:r>
      <w:r w:rsidR="002012DC">
        <w:rPr>
          <w:lang w:eastAsia="ja-JP"/>
        </w:rPr>
        <w:t>,</w:t>
      </w:r>
      <w:r w:rsidR="002012DC" w:rsidRPr="002012DC">
        <w:rPr>
          <w:lang w:eastAsia="ja-JP"/>
        </w:rPr>
        <w:t xml:space="preserve"> </w:t>
      </w:r>
      <w:r w:rsidR="002012DC">
        <w:rPr>
          <w:lang w:eastAsia="ja-JP"/>
        </w:rPr>
        <w:t>p. vi.</w:t>
      </w:r>
    </w:p>
    <w:p w14:paraId="2DD29CDE" w14:textId="74E7B30D" w:rsidR="00230C7F" w:rsidRDefault="00230C7F" w:rsidP="005C1971">
      <w:pPr>
        <w:rPr>
          <w:lang w:eastAsia="ja-JP"/>
        </w:rPr>
      </w:pPr>
      <w:r>
        <w:rPr>
          <w:lang w:eastAsia="ja-JP"/>
        </w:rPr>
        <w:t>CDPP</w:t>
      </w:r>
      <w:r w:rsidR="00C44BE2">
        <w:rPr>
          <w:lang w:eastAsia="ja-JP"/>
        </w:rPr>
        <w:t xml:space="preserve"> 2019</w:t>
      </w:r>
      <w:r>
        <w:rPr>
          <w:lang w:eastAsia="ja-JP"/>
        </w:rPr>
        <w:t xml:space="preserve">, </w:t>
      </w:r>
      <w:hyperlink r:id="rId36" w:history="1">
        <w:r w:rsidR="00701AF0">
          <w:rPr>
            <w:rStyle w:val="Hyperlink"/>
            <w:lang w:eastAsia="ja-JP"/>
          </w:rPr>
          <w:t>Prosecution policy of the Commonwealth: Guidelines for the making of decisions in the prosecution process</w:t>
        </w:r>
      </w:hyperlink>
      <w:r>
        <w:rPr>
          <w:lang w:eastAsia="ja-JP"/>
        </w:rPr>
        <w:t xml:space="preserve">, </w:t>
      </w:r>
      <w:r w:rsidR="006C576E" w:rsidRPr="006C576E">
        <w:rPr>
          <w:lang w:eastAsia="ja-JP"/>
        </w:rPr>
        <w:t>Office of the Commonwealth Director of Public Prosecutions</w:t>
      </w:r>
      <w:r w:rsidR="00C44BE2">
        <w:rPr>
          <w:lang w:eastAsia="ja-JP"/>
        </w:rPr>
        <w:t>,</w:t>
      </w:r>
      <w:r>
        <w:rPr>
          <w:lang w:eastAsia="ja-JP"/>
        </w:rPr>
        <w:t xml:space="preserve"> Canberra</w:t>
      </w:r>
      <w:r w:rsidR="00C44BE2">
        <w:rPr>
          <w:lang w:eastAsia="ja-JP"/>
        </w:rPr>
        <w:t>, August</w:t>
      </w:r>
      <w:r w:rsidR="002012DC">
        <w:rPr>
          <w:lang w:eastAsia="ja-JP"/>
        </w:rPr>
        <w:t>,</w:t>
      </w:r>
      <w:r w:rsidR="002012DC" w:rsidRPr="002012DC">
        <w:rPr>
          <w:lang w:eastAsia="ja-JP"/>
        </w:rPr>
        <w:t xml:space="preserve"> </w:t>
      </w:r>
      <w:r w:rsidR="00642AE5">
        <w:rPr>
          <w:lang w:eastAsia="ja-JP"/>
        </w:rPr>
        <w:t xml:space="preserve">accessed 18 June 2020, </w:t>
      </w:r>
      <w:r w:rsidR="002012DC">
        <w:rPr>
          <w:lang w:eastAsia="ja-JP"/>
        </w:rPr>
        <w:t>paragraph 2.3</w:t>
      </w:r>
      <w:r>
        <w:rPr>
          <w:lang w:eastAsia="ja-JP"/>
        </w:rPr>
        <w:t>.</w:t>
      </w:r>
    </w:p>
    <w:p w14:paraId="533DD4DB" w14:textId="77777777" w:rsidR="001624A0" w:rsidRDefault="001624A0" w:rsidP="001624A0">
      <w:pPr>
        <w:rPr>
          <w:lang w:eastAsia="ja-JP"/>
        </w:rPr>
      </w:pPr>
      <w:r>
        <w:rPr>
          <w:lang w:eastAsia="ja-JP"/>
        </w:rPr>
        <w:t>Department of Agriculture</w:t>
      </w:r>
      <w:r w:rsidRPr="00B67D75">
        <w:rPr>
          <w:lang w:eastAsia="ja-JP"/>
        </w:rPr>
        <w:t xml:space="preserve"> 2019, </w:t>
      </w:r>
      <w:hyperlink r:id="rId37" w:history="1">
        <w:r>
          <w:rPr>
            <w:rStyle w:val="Hyperlink"/>
            <w:lang w:eastAsia="ja-JP"/>
          </w:rPr>
          <w:t>Review of the Regulatory Capability and Culture of the Department of Agriculture and Water Resources in the Regulation of Live Animal Exports: 2019 implementation progress report</w:t>
        </w:r>
      </w:hyperlink>
      <w:r w:rsidRPr="00B67D75">
        <w:rPr>
          <w:lang w:eastAsia="ja-JP"/>
        </w:rPr>
        <w:t>, Canberra, October.</w:t>
      </w:r>
    </w:p>
    <w:p w14:paraId="70422F26" w14:textId="77CCE7DD" w:rsidR="005C1971" w:rsidRPr="005C1971" w:rsidRDefault="005C1971" w:rsidP="005C1971">
      <w:pPr>
        <w:rPr>
          <w:lang w:eastAsia="ja-JP"/>
        </w:rPr>
      </w:pPr>
      <w:r w:rsidRPr="005C1971">
        <w:rPr>
          <w:lang w:eastAsia="ja-JP"/>
        </w:rPr>
        <w:t xml:space="preserve">Department of Agriculture and Water Resources 2018, </w:t>
      </w:r>
      <w:hyperlink r:id="rId38" w:history="1">
        <w:r w:rsidRPr="005C1971">
          <w:rPr>
            <w:color w:val="165788"/>
            <w:u w:val="single"/>
            <w:lang w:eastAsia="ja-JP"/>
          </w:rPr>
          <w:t>Government response to the Moss Review, Department of Agriculture and Water Resources</w:t>
        </w:r>
      </w:hyperlink>
      <w:r w:rsidRPr="005C1971">
        <w:rPr>
          <w:lang w:eastAsia="ja-JP"/>
        </w:rPr>
        <w:t>, Canberra, October</w:t>
      </w:r>
      <w:r w:rsidR="00642AE5">
        <w:rPr>
          <w:lang w:eastAsia="ja-JP"/>
        </w:rPr>
        <w:t>, accessed 24 June 2020</w:t>
      </w:r>
      <w:r w:rsidRPr="005C1971">
        <w:rPr>
          <w:lang w:eastAsia="ja-JP"/>
        </w:rPr>
        <w:t>.</w:t>
      </w:r>
    </w:p>
    <w:p w14:paraId="0457133C" w14:textId="49C37474" w:rsidR="002012DC" w:rsidRPr="000366FA" w:rsidRDefault="002012DC" w:rsidP="002012DC">
      <w:pPr>
        <w:rPr>
          <w:lang w:eastAsia="ja-JP"/>
        </w:rPr>
      </w:pPr>
      <w:r w:rsidRPr="00CE14AE">
        <w:rPr>
          <w:lang w:eastAsia="ja-JP"/>
        </w:rPr>
        <w:t>Department of Agriculture, Water and the Environment 2020</w:t>
      </w:r>
      <w:r>
        <w:rPr>
          <w:lang w:eastAsia="ja-JP"/>
        </w:rPr>
        <w:t>a</w:t>
      </w:r>
      <w:r w:rsidRPr="00CE14AE">
        <w:rPr>
          <w:lang w:eastAsia="ja-JP"/>
        </w:rPr>
        <w:t xml:space="preserve">, </w:t>
      </w:r>
      <w:hyperlink r:id="rId39" w:history="1">
        <w:r w:rsidRPr="000366FA">
          <w:rPr>
            <w:rStyle w:val="Hyperlink"/>
            <w:lang w:eastAsia="ja-JP"/>
          </w:rPr>
          <w:t>Additional voyage report on MV Al Kuwait</w:t>
        </w:r>
        <w:r w:rsidR="000975F5" w:rsidRPr="000366FA">
          <w:rPr>
            <w:rStyle w:val="Hyperlink"/>
            <w:lang w:eastAsia="ja-JP"/>
          </w:rPr>
          <w:t xml:space="preserve"> – </w:t>
        </w:r>
        <w:r w:rsidRPr="000366FA">
          <w:rPr>
            <w:rStyle w:val="Hyperlink"/>
            <w:lang w:eastAsia="ja-JP"/>
          </w:rPr>
          <w:t>sheep exported to Kuwait in June 2020, Report 219a</w:t>
        </w:r>
      </w:hyperlink>
      <w:r w:rsidRPr="000366FA">
        <w:rPr>
          <w:lang w:eastAsia="ja-JP"/>
        </w:rPr>
        <w:t>, Canberra, August</w:t>
      </w:r>
      <w:r w:rsidR="00642AE5">
        <w:rPr>
          <w:lang w:eastAsia="ja-JP"/>
        </w:rPr>
        <w:t xml:space="preserve">, accessed </w:t>
      </w:r>
      <w:r w:rsidR="00F15F81">
        <w:rPr>
          <w:lang w:eastAsia="ja-JP"/>
        </w:rPr>
        <w:t>20 August 2020</w:t>
      </w:r>
      <w:r w:rsidRPr="000366FA">
        <w:rPr>
          <w:lang w:eastAsia="ja-JP"/>
        </w:rPr>
        <w:t>.</w:t>
      </w:r>
    </w:p>
    <w:p w14:paraId="16B44034" w14:textId="58990C6C" w:rsidR="003E5FBD" w:rsidRDefault="00BC6DC3" w:rsidP="00905F94">
      <w:pPr>
        <w:rPr>
          <w:lang w:eastAsia="ja-JP"/>
        </w:rPr>
      </w:pPr>
      <w:r w:rsidRPr="00BD54A1">
        <w:rPr>
          <w:lang w:eastAsia="ja-JP"/>
        </w:rPr>
        <w:t>——</w:t>
      </w:r>
      <w:r w:rsidR="000975F5" w:rsidRPr="00BD54A1">
        <w:rPr>
          <w:lang w:eastAsia="ja-JP"/>
        </w:rPr>
        <w:t xml:space="preserve"> </w:t>
      </w:r>
      <w:r w:rsidR="003E5FBD" w:rsidRPr="000366FA">
        <w:rPr>
          <w:lang w:eastAsia="ja-JP"/>
        </w:rPr>
        <w:t>2020</w:t>
      </w:r>
      <w:r w:rsidR="002012DC" w:rsidRPr="000366FA">
        <w:rPr>
          <w:lang w:eastAsia="ja-JP"/>
        </w:rPr>
        <w:t>b</w:t>
      </w:r>
      <w:r w:rsidR="003E5FBD" w:rsidRPr="000366FA">
        <w:rPr>
          <w:lang w:eastAsia="ja-JP"/>
        </w:rPr>
        <w:t xml:space="preserve">, </w:t>
      </w:r>
      <w:hyperlink r:id="rId40" w:history="1">
        <w:r w:rsidR="003E5FBD" w:rsidRPr="000366FA">
          <w:rPr>
            <w:rStyle w:val="Hyperlink"/>
            <w:lang w:eastAsia="ja-JP"/>
          </w:rPr>
          <w:t>Media Statement: Department’s investigation into the Awassi Express</w:t>
        </w:r>
      </w:hyperlink>
      <w:r w:rsidR="003E5FBD" w:rsidRPr="000366FA">
        <w:rPr>
          <w:lang w:eastAsia="ja-JP"/>
        </w:rPr>
        <w:t xml:space="preserve">, </w:t>
      </w:r>
      <w:r w:rsidR="003E5FBD">
        <w:rPr>
          <w:lang w:eastAsia="ja-JP"/>
        </w:rPr>
        <w:t xml:space="preserve">Canberra, </w:t>
      </w:r>
      <w:r w:rsidR="00F15F81">
        <w:rPr>
          <w:lang w:eastAsia="ja-JP"/>
        </w:rPr>
        <w:t xml:space="preserve">accessed 22 </w:t>
      </w:r>
      <w:r w:rsidR="003E5FBD">
        <w:rPr>
          <w:lang w:eastAsia="ja-JP"/>
        </w:rPr>
        <w:t>April</w:t>
      </w:r>
      <w:r w:rsidR="00F15F81">
        <w:rPr>
          <w:lang w:eastAsia="ja-JP"/>
        </w:rPr>
        <w:t xml:space="preserve"> 2020</w:t>
      </w:r>
      <w:r w:rsidR="003E5FBD">
        <w:rPr>
          <w:lang w:eastAsia="ja-JP"/>
        </w:rPr>
        <w:t>.</w:t>
      </w:r>
    </w:p>
    <w:p w14:paraId="0795F0AF" w14:textId="2A973D87" w:rsidR="008331F4" w:rsidRDefault="00384D6C" w:rsidP="008331F4">
      <w:pPr>
        <w:rPr>
          <w:lang w:eastAsia="ja-JP"/>
        </w:rPr>
      </w:pPr>
      <w:r>
        <w:rPr>
          <w:lang w:eastAsia="ja-JP"/>
        </w:rPr>
        <w:t xml:space="preserve">Inspector-General </w:t>
      </w:r>
      <w:r w:rsidR="008331F4">
        <w:rPr>
          <w:lang w:eastAsia="ja-JP"/>
        </w:rPr>
        <w:t xml:space="preserve">2020, </w:t>
      </w:r>
      <w:hyperlink r:id="rId41" w:history="1">
        <w:r w:rsidR="00127722">
          <w:rPr>
            <w:rStyle w:val="Hyperlink"/>
            <w:lang w:eastAsia="ja-JP"/>
          </w:rPr>
          <w:t>Monitoring and reporting during livestock export voyages</w:t>
        </w:r>
      </w:hyperlink>
      <w:r w:rsidR="008331F4">
        <w:rPr>
          <w:lang w:eastAsia="ja-JP"/>
        </w:rPr>
        <w:t>, Inspector-General of Live Animal Exports, Canberra, March.</w:t>
      </w:r>
    </w:p>
    <w:p w14:paraId="51DB7505" w14:textId="00108592" w:rsidR="00671460" w:rsidRDefault="00671460" w:rsidP="008331F4">
      <w:pPr>
        <w:rPr>
          <w:lang w:eastAsia="ja-JP"/>
        </w:rPr>
      </w:pPr>
      <w:r>
        <w:rPr>
          <w:lang w:eastAsia="ja-JP"/>
        </w:rPr>
        <w:t xml:space="preserve">Media release 2018, </w:t>
      </w:r>
      <w:hyperlink r:id="rId42" w:history="1">
        <w:r w:rsidRPr="00671460">
          <w:rPr>
            <w:rStyle w:val="Hyperlink"/>
            <w:lang w:eastAsia="ja-JP"/>
          </w:rPr>
          <w:t>Live exports</w:t>
        </w:r>
      </w:hyperlink>
      <w:r>
        <w:rPr>
          <w:lang w:eastAsia="ja-JP"/>
        </w:rPr>
        <w:t>, Minister for Agriculture and Water Resources, Canberra, April, accessed 12 June 2020.</w:t>
      </w:r>
    </w:p>
    <w:p w14:paraId="608AEBB5" w14:textId="4C81748A" w:rsidR="00A8115A" w:rsidRDefault="00A8115A" w:rsidP="008331F4">
      <w:pPr>
        <w:rPr>
          <w:lang w:eastAsia="ja-JP"/>
        </w:rPr>
      </w:pPr>
      <w:r w:rsidRPr="00F15F81">
        <w:rPr>
          <w:lang w:eastAsia="ja-JP"/>
        </w:rPr>
        <w:t>Media release 2020,</w:t>
      </w:r>
      <w:r w:rsidRPr="00A947B8">
        <w:t xml:space="preserve"> </w:t>
      </w:r>
      <w:hyperlink r:id="rId43" w:history="1">
        <w:r w:rsidRPr="00A1109C">
          <w:rPr>
            <w:rStyle w:val="Hyperlink"/>
            <w:lang w:eastAsia="ja-JP"/>
          </w:rPr>
          <w:t>Budget 2020: Budget 2020-21-Backing our farmers, supporting disaster recovery and protecting Australians</w:t>
        </w:r>
      </w:hyperlink>
      <w:r>
        <w:rPr>
          <w:lang w:eastAsia="ja-JP"/>
        </w:rPr>
        <w:t>, media release, Minister for Agriculture, Drought and Emergency Management, Parliament of Australia, Canberra, October.</w:t>
      </w:r>
    </w:p>
    <w:p w14:paraId="1E3F30D5" w14:textId="45F758D3" w:rsidR="008331F4" w:rsidRDefault="008331F4" w:rsidP="008331F4">
      <w:pPr>
        <w:rPr>
          <w:lang w:eastAsia="ja-JP"/>
        </w:rPr>
      </w:pPr>
      <w:r>
        <w:rPr>
          <w:lang w:eastAsia="ja-JP"/>
        </w:rPr>
        <w:t xml:space="preserve">Moss, P 2018, </w:t>
      </w:r>
      <w:hyperlink r:id="rId44" w:history="1">
        <w:r w:rsidR="00DA0271">
          <w:rPr>
            <w:rStyle w:val="Hyperlink"/>
            <w:lang w:eastAsia="ja-JP"/>
          </w:rPr>
          <w:t>Review of the Regulatory Capability and Culture of the Department of Agriculture and Water Resources in the Regulation of Live Animal Exports</w:t>
        </w:r>
      </w:hyperlink>
      <w:r>
        <w:rPr>
          <w:lang w:eastAsia="ja-JP"/>
        </w:rPr>
        <w:t>, Australian Government, Canberra, September.</w:t>
      </w:r>
    </w:p>
    <w:p w14:paraId="3C667DAA" w14:textId="5543F4E9" w:rsidR="00F840DA" w:rsidRPr="00F15F81" w:rsidRDefault="00F840DA" w:rsidP="008331F4">
      <w:pPr>
        <w:rPr>
          <w:lang w:eastAsia="ja-JP"/>
        </w:rPr>
      </w:pPr>
      <w:r w:rsidRPr="00F15F81">
        <w:rPr>
          <w:lang w:eastAsia="ja-JP"/>
        </w:rPr>
        <w:t xml:space="preserve">NFF 2020, </w:t>
      </w:r>
      <w:hyperlink r:id="rId45" w:history="1">
        <w:r w:rsidR="00847A9B">
          <w:rPr>
            <w:rStyle w:val="Hyperlink"/>
            <w:lang w:eastAsia="ja-JP"/>
          </w:rPr>
          <w:t>Submission to the Inspector-General of Live Animal Exports review</w:t>
        </w:r>
      </w:hyperlink>
      <w:r w:rsidRPr="00F15F81">
        <w:rPr>
          <w:lang w:eastAsia="ja-JP"/>
        </w:rPr>
        <w:t xml:space="preserve">, National Farmers’ Federation, </w:t>
      </w:r>
      <w:r w:rsidR="00A97E7A" w:rsidRPr="00F15F81">
        <w:rPr>
          <w:lang w:eastAsia="ja-JP"/>
        </w:rPr>
        <w:t xml:space="preserve">Canberra, </w:t>
      </w:r>
      <w:r w:rsidRPr="00F15F81">
        <w:rPr>
          <w:lang w:eastAsia="ja-JP"/>
        </w:rPr>
        <w:t>September.</w:t>
      </w:r>
    </w:p>
    <w:p w14:paraId="325CE475" w14:textId="275CA2A8" w:rsidR="00CF7065" w:rsidRPr="00F15F81" w:rsidRDefault="00CF7065" w:rsidP="008331F4">
      <w:pPr>
        <w:rPr>
          <w:lang w:eastAsia="ja-JP"/>
        </w:rPr>
      </w:pPr>
      <w:r w:rsidRPr="00F15F81">
        <w:rPr>
          <w:lang w:eastAsia="ja-JP"/>
        </w:rPr>
        <w:t xml:space="preserve">RSPCA 2020, </w:t>
      </w:r>
      <w:hyperlink r:id="rId46" w:history="1">
        <w:r w:rsidR="00847A9B">
          <w:rPr>
            <w:rStyle w:val="Hyperlink"/>
            <w:lang w:eastAsia="ja-JP"/>
          </w:rPr>
          <w:t>Submission to the Inspector-General of Live Animal Exports review</w:t>
        </w:r>
      </w:hyperlink>
      <w:r w:rsidRPr="00F15F81">
        <w:rPr>
          <w:lang w:eastAsia="ja-JP"/>
        </w:rPr>
        <w:t xml:space="preserve">, Royal Society for the Prevention of Cruelty to Animals, </w:t>
      </w:r>
      <w:r w:rsidR="00A97E7A" w:rsidRPr="00F15F81">
        <w:rPr>
          <w:lang w:eastAsia="ja-JP"/>
        </w:rPr>
        <w:t xml:space="preserve">Sydney, </w:t>
      </w:r>
      <w:r w:rsidRPr="00F15F81">
        <w:rPr>
          <w:lang w:eastAsia="ja-JP"/>
        </w:rPr>
        <w:t>September.</w:t>
      </w:r>
    </w:p>
    <w:p w14:paraId="02C37A32" w14:textId="48B0B49D" w:rsidR="008331F4" w:rsidRDefault="00774232" w:rsidP="00905F94">
      <w:pPr>
        <w:rPr>
          <w:lang w:eastAsia="ja-JP"/>
        </w:rPr>
      </w:pPr>
      <w:r w:rsidRPr="00F15F81">
        <w:rPr>
          <w:lang w:eastAsia="ja-JP"/>
        </w:rPr>
        <w:t xml:space="preserve">Wellard 2020, </w:t>
      </w:r>
      <w:hyperlink r:id="rId47" w:history="1">
        <w:r w:rsidR="00B02357">
          <w:rPr>
            <w:rStyle w:val="Hyperlink"/>
            <w:lang w:eastAsia="ja-JP"/>
          </w:rPr>
          <w:t>Submission to the Inspector-General of Live Animal Exports review</w:t>
        </w:r>
      </w:hyperlink>
      <w:r w:rsidRPr="00F15F81">
        <w:rPr>
          <w:lang w:eastAsia="ja-JP"/>
        </w:rPr>
        <w:t xml:space="preserve">, Wellard Limited, </w:t>
      </w:r>
      <w:r w:rsidR="00A97E7A" w:rsidRPr="00F15F81">
        <w:rPr>
          <w:lang w:eastAsia="ja-JP"/>
        </w:rPr>
        <w:t xml:space="preserve">Fremantle, </w:t>
      </w:r>
      <w:r w:rsidRPr="00F15F81">
        <w:rPr>
          <w:lang w:eastAsia="ja-JP"/>
        </w:rPr>
        <w:t>August.</w:t>
      </w:r>
    </w:p>
    <w:sectPr w:rsidR="008331F4" w:rsidSect="003E3C36">
      <w:headerReference w:type="default" r:id="rId48"/>
      <w:footerReference w:type="default" r:id="rId4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A1BE8" w14:textId="77777777" w:rsidR="00526C19" w:rsidRDefault="00526C19">
      <w:r>
        <w:separator/>
      </w:r>
    </w:p>
    <w:p w14:paraId="236D4EED" w14:textId="77777777" w:rsidR="00526C19" w:rsidRDefault="00526C19"/>
  </w:endnote>
  <w:endnote w:type="continuationSeparator" w:id="0">
    <w:p w14:paraId="5C976B46" w14:textId="77777777" w:rsidR="00526C19" w:rsidRDefault="00526C19">
      <w:r>
        <w:continuationSeparator/>
      </w:r>
    </w:p>
    <w:p w14:paraId="37FB537E" w14:textId="77777777" w:rsidR="00526C19" w:rsidRDefault="00526C19"/>
  </w:endnote>
  <w:endnote w:type="continuationNotice" w:id="1">
    <w:p w14:paraId="16E36B69" w14:textId="77777777" w:rsidR="00526C19" w:rsidRDefault="00526C19">
      <w:pPr>
        <w:spacing w:after="0" w:line="240" w:lineRule="auto"/>
      </w:pPr>
    </w:p>
    <w:p w14:paraId="2D9C6207" w14:textId="77777777" w:rsidR="00526C19" w:rsidRDefault="00526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1144206"/>
      <w:docPartObj>
        <w:docPartGallery w:val="Page Numbers (Bottom of Page)"/>
        <w:docPartUnique/>
      </w:docPartObj>
    </w:sdtPr>
    <w:sdtEndPr>
      <w:rPr>
        <w:noProof/>
      </w:rPr>
    </w:sdtEndPr>
    <w:sdtContent>
      <w:p w14:paraId="66DFEDBD" w14:textId="0A9DC9D6" w:rsidR="00FE420F" w:rsidRDefault="00FE420F" w:rsidP="00362D8B">
        <w:pPr>
          <w:pStyle w:val="Footer"/>
        </w:pPr>
        <w:r>
          <w:t>I</w:t>
        </w:r>
        <w:r w:rsidRPr="00F4249A">
          <w:t xml:space="preserve">nspector-General </w:t>
        </w:r>
        <w:r>
          <w:t xml:space="preserve">of </w:t>
        </w:r>
        <w:r w:rsidRPr="00F4249A">
          <w:t>Live Animal Exports</w:t>
        </w:r>
      </w:p>
      <w:p w14:paraId="37B04B1F" w14:textId="77777777" w:rsidR="00FE420F" w:rsidRDefault="00FE420F" w:rsidP="00362D8B">
        <w:pPr>
          <w:pStyle w:val="Footer"/>
        </w:pPr>
        <w:r>
          <w:fldChar w:fldCharType="begin"/>
        </w:r>
        <w:r>
          <w:instrText xml:space="preserve"> PAGE   \* MERGEFORMAT </w:instrText>
        </w:r>
        <w:r>
          <w:fldChar w:fldCharType="separate"/>
        </w:r>
        <w:r w:rsidR="00951D14">
          <w:rPr>
            <w:noProof/>
          </w:rPr>
          <w:t>x</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262646"/>
      <w:docPartObj>
        <w:docPartGallery w:val="Page Numbers (Bottom of Page)"/>
        <w:docPartUnique/>
      </w:docPartObj>
    </w:sdtPr>
    <w:sdtEndPr>
      <w:rPr>
        <w:noProof/>
      </w:rPr>
    </w:sdtEndPr>
    <w:sdtContent>
      <w:p w14:paraId="7973EE8C" w14:textId="77777777" w:rsidR="00FE420F" w:rsidRDefault="00FE420F" w:rsidP="003A1C44">
        <w:pPr>
          <w:pStyle w:val="Footer"/>
        </w:pPr>
        <w:r>
          <w:t>Inspector-General of Live Animal Exports</w:t>
        </w:r>
      </w:p>
      <w:p w14:paraId="5A6EFCB2" w14:textId="71C8C1EB" w:rsidR="00FE420F" w:rsidRDefault="00FE420F" w:rsidP="003A1C44">
        <w:pPr>
          <w:pStyle w:val="Footer"/>
        </w:pPr>
        <w:r>
          <w:fldChar w:fldCharType="begin"/>
        </w:r>
        <w:r>
          <w:instrText xml:space="preserve"> PAGE   \* MERGEFORMAT </w:instrText>
        </w:r>
        <w:r>
          <w:fldChar w:fldCharType="separate"/>
        </w:r>
        <w:r w:rsidR="00951D14">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32EDE" w14:textId="77777777" w:rsidR="00526C19" w:rsidRDefault="00526C19">
      <w:r>
        <w:separator/>
      </w:r>
    </w:p>
    <w:p w14:paraId="4409E007" w14:textId="77777777" w:rsidR="00526C19" w:rsidRDefault="00526C19"/>
  </w:footnote>
  <w:footnote w:type="continuationSeparator" w:id="0">
    <w:p w14:paraId="540B5F2E" w14:textId="77777777" w:rsidR="00526C19" w:rsidRDefault="00526C19">
      <w:r>
        <w:continuationSeparator/>
      </w:r>
    </w:p>
    <w:p w14:paraId="534F4944" w14:textId="77777777" w:rsidR="00526C19" w:rsidRDefault="00526C19"/>
  </w:footnote>
  <w:footnote w:type="continuationNotice" w:id="1">
    <w:p w14:paraId="49FBB852" w14:textId="77777777" w:rsidR="00526C19" w:rsidRDefault="00526C19">
      <w:pPr>
        <w:spacing w:after="0" w:line="240" w:lineRule="auto"/>
      </w:pPr>
    </w:p>
    <w:p w14:paraId="58DAF03D" w14:textId="77777777" w:rsidR="00526C19" w:rsidRDefault="00526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7D6FC" w14:textId="77777777" w:rsidR="00FE420F" w:rsidRDefault="00FE420F">
    <w:pPr>
      <w:pStyle w:val="Header"/>
    </w:pPr>
  </w:p>
  <w:p w14:paraId="49BF2942" w14:textId="77777777" w:rsidR="00FE420F" w:rsidRDefault="00FE42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5ABBF" w14:textId="56A5C61D" w:rsidR="00FE420F" w:rsidRPr="00564940" w:rsidRDefault="00FE420F" w:rsidP="003D48B6">
    <w:pPr>
      <w:pStyle w:val="Header"/>
    </w:pPr>
    <w:r>
      <w:rPr>
        <w:noProof/>
        <w:lang w:val="en-US"/>
      </w:rPr>
      <w:t>Imp</w:t>
    </w:r>
    <w:r>
      <w:t>lementation</w:t>
    </w:r>
    <w:r w:rsidRPr="00563B6B">
      <w:rPr>
        <w:noProof/>
        <w:lang w:val="en-US"/>
      </w:rPr>
      <w:t xml:space="preserve"> of Moss Review recommendation</w:t>
    </w:r>
    <w:r>
      <w:rPr>
        <w:noProof/>
        <w:lang w:val="en-U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BA42C" w14:textId="73128A43" w:rsidR="00FE420F" w:rsidRDefault="00FE420F" w:rsidP="0054359A">
    <w:pPr>
      <w:pStyle w:val="Header"/>
      <w:tabs>
        <w:tab w:val="left" w:pos="735"/>
        <w:tab w:val="left" w:pos="6071"/>
      </w:tabs>
      <w:jc w:val="left"/>
    </w:pPr>
    <w:r w:rsidRPr="0039092C">
      <w:rPr>
        <w:noProof/>
      </w:rPr>
      <w:drawing>
        <wp:inline distT="0" distB="0" distL="0" distR="0" wp14:anchorId="04D7E3D6" wp14:editId="13EA6A14">
          <wp:extent cx="3200400" cy="64008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4008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916E5" w14:textId="5F4CD6D8" w:rsidR="00FE420F" w:rsidRDefault="00FE420F" w:rsidP="001834EB">
    <w:pPr>
      <w:pStyle w:val="Header"/>
    </w:pPr>
    <w:r>
      <w:rPr>
        <w:noProof/>
        <w:lang w:val="en-US"/>
      </w:rPr>
      <w:t xml:space="preserve">Implementation of Moss Review’s recommendation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3672005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C087AE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57A06B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AA6B26"/>
    <w:multiLevelType w:val="multilevel"/>
    <w:tmpl w:val="D43A37FA"/>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D53AD1"/>
    <w:multiLevelType w:val="multilevel"/>
    <w:tmpl w:val="EDD2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2B7279F"/>
    <w:multiLevelType w:val="multilevel"/>
    <w:tmpl w:val="512A36D6"/>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0A582B"/>
    <w:multiLevelType w:val="hybridMultilevel"/>
    <w:tmpl w:val="42449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003EEA"/>
    <w:multiLevelType w:val="multilevel"/>
    <w:tmpl w:val="D4E6083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212150"/>
    <w:multiLevelType w:val="hybridMultilevel"/>
    <w:tmpl w:val="5462A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21A328D5"/>
    <w:multiLevelType w:val="multilevel"/>
    <w:tmpl w:val="317853DC"/>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5600A9E"/>
    <w:multiLevelType w:val="multilevel"/>
    <w:tmpl w:val="0E729A16"/>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641BAE"/>
    <w:multiLevelType w:val="hybridMultilevel"/>
    <w:tmpl w:val="25DCE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1" w15:restartNumberingAfterBreak="0">
    <w:nsid w:val="2A913599"/>
    <w:multiLevelType w:val="multilevel"/>
    <w:tmpl w:val="02AA8FA0"/>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2" w15:restartNumberingAfterBreak="0">
    <w:nsid w:val="2F2425AB"/>
    <w:multiLevelType w:val="multilevel"/>
    <w:tmpl w:val="BC8603C0"/>
    <w:numStyleLink w:val="ListNumbers"/>
  </w:abstractNum>
  <w:abstractNum w:abstractNumId="23" w15:restartNumberingAfterBreak="0">
    <w:nsid w:val="3334160F"/>
    <w:multiLevelType w:val="hybridMultilevel"/>
    <w:tmpl w:val="ED349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4A15FE"/>
    <w:multiLevelType w:val="multilevel"/>
    <w:tmpl w:val="F0021E56"/>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C0D0EAE"/>
    <w:multiLevelType w:val="hybridMultilevel"/>
    <w:tmpl w:val="A8BA9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6F1CC8"/>
    <w:multiLevelType w:val="hybridMultilevel"/>
    <w:tmpl w:val="F02A438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1CD1C93"/>
    <w:multiLevelType w:val="multilevel"/>
    <w:tmpl w:val="EDD2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DD5C12"/>
    <w:multiLevelType w:val="multilevel"/>
    <w:tmpl w:val="20F2356A"/>
    <w:numStyleLink w:val="Appendix"/>
  </w:abstractNum>
  <w:abstractNum w:abstractNumId="2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840DAA"/>
    <w:multiLevelType w:val="hybridMultilevel"/>
    <w:tmpl w:val="B0A05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B73115"/>
    <w:multiLevelType w:val="hybridMultilevel"/>
    <w:tmpl w:val="3E500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2D1A88"/>
    <w:multiLevelType w:val="hybridMultilevel"/>
    <w:tmpl w:val="2D7EA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52583A"/>
    <w:multiLevelType w:val="hybridMultilevel"/>
    <w:tmpl w:val="E3722CA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7"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8" w15:restartNumberingAfterBreak="0">
    <w:nsid w:val="5BF51EC7"/>
    <w:multiLevelType w:val="multilevel"/>
    <w:tmpl w:val="B564567C"/>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9" w15:restartNumberingAfterBreak="0">
    <w:nsid w:val="5C9F7C75"/>
    <w:multiLevelType w:val="hybridMultilevel"/>
    <w:tmpl w:val="30F6A7DC"/>
    <w:lvl w:ilvl="0" w:tplc="1BCA74A8">
      <w:start w:val="1"/>
      <w:numFmt w:val="bullet"/>
      <w:lvlText w:val=""/>
      <w:lvlJc w:val="left"/>
      <w:pPr>
        <w:ind w:left="720" w:hanging="360"/>
      </w:pPr>
      <w:rPr>
        <w:rFonts w:ascii="Symbol" w:hAnsi="Symbol"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CA2A9B"/>
    <w:multiLevelType w:val="hybridMultilevel"/>
    <w:tmpl w:val="8BD62984"/>
    <w:lvl w:ilvl="0" w:tplc="0C090003">
      <w:start w:val="1"/>
      <w:numFmt w:val="bullet"/>
      <w:lvlText w:val="o"/>
      <w:lvlJc w:val="left"/>
      <w:pPr>
        <w:ind w:left="720" w:hanging="360"/>
      </w:pPr>
      <w:rPr>
        <w:rFonts w:ascii="Courier New" w:hAnsi="Courier New" w:cs="Courier New"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2B394D"/>
    <w:multiLevelType w:val="hybridMultilevel"/>
    <w:tmpl w:val="D9B2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55631B"/>
    <w:multiLevelType w:val="multilevel"/>
    <w:tmpl w:val="ADB699BA"/>
    <w:lvl w:ilvl="0">
      <w:start w:val="2"/>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3875AA3"/>
    <w:multiLevelType w:val="hybridMultilevel"/>
    <w:tmpl w:val="F3129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923D5C"/>
    <w:multiLevelType w:val="hybridMultilevel"/>
    <w:tmpl w:val="69CE5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14"/>
  </w:num>
  <w:num w:numId="4">
    <w:abstractNumId w:val="15"/>
  </w:num>
  <w:num w:numId="5">
    <w:abstractNumId w:val="3"/>
  </w:num>
  <w:num w:numId="6">
    <w:abstractNumId w:val="21"/>
  </w:num>
  <w:num w:numId="7">
    <w:abstractNumId w:val="44"/>
  </w:num>
  <w:num w:numId="8">
    <w:abstractNumId w:val="22"/>
  </w:num>
  <w:num w:numId="9">
    <w:abstractNumId w:val="38"/>
    <w:lvlOverride w:ilvl="0">
      <w:lvl w:ilvl="0">
        <w:start w:val="1"/>
        <w:numFmt w:val="decimal"/>
        <w:pStyle w:val="Heading2"/>
        <w:lvlText w:val="%1"/>
        <w:lvlJc w:val="left"/>
        <w:pPr>
          <w:ind w:left="567" w:hanging="567"/>
        </w:pPr>
        <w:rPr>
          <w:rFonts w:hint="default"/>
        </w:rPr>
      </w:lvl>
    </w:lvlOverride>
    <w:lvlOverride w:ilvl="1">
      <w:lvl w:ilvl="1">
        <w:start w:val="1"/>
        <w:numFmt w:val="decimal"/>
        <w:pStyle w:val="Heading3"/>
        <w:lvlText w:val="%1.%2"/>
        <w:lvlJc w:val="left"/>
        <w:pPr>
          <w:ind w:left="567" w:hanging="567"/>
        </w:pPr>
        <w:rPr>
          <w:rFonts w:hint="default"/>
        </w:rPr>
      </w:lvl>
    </w:lvlOverride>
    <w:lvlOverride w:ilvl="2">
      <w:lvl w:ilvl="2">
        <w:start w:val="1"/>
        <w:numFmt w:val="lowerRoman"/>
        <w:lvlText w:val="%3)"/>
        <w:lvlJc w:val="left"/>
        <w:pPr>
          <w:ind w:left="567" w:hanging="567"/>
        </w:pPr>
        <w:rPr>
          <w:rFonts w:hint="default"/>
        </w:rPr>
      </w:lvl>
    </w:lvlOverride>
    <w:lvlOverride w:ilvl="3">
      <w:lvl w:ilvl="3">
        <w:start w:val="1"/>
        <w:numFmt w:val="decimal"/>
        <w:lvlText w:val="(%4)"/>
        <w:lvlJc w:val="left"/>
        <w:pPr>
          <w:ind w:left="567" w:hanging="567"/>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 w:ilvl="0">
        <w:start w:val="1"/>
        <w:numFmt w:val="upperLetter"/>
        <w:pStyle w:val="AppendixHeading1"/>
        <w:lvlText w:val="Appendix %1"/>
        <w:lvlJc w:val="left"/>
        <w:pPr>
          <w:ind w:left="3657" w:hanging="964"/>
        </w:pPr>
        <w:rPr>
          <w:rFonts w:hint="default"/>
        </w:rPr>
      </w:lvl>
    </w:lvlOverride>
  </w:num>
  <w:num w:numId="13">
    <w:abstractNumId w:val="40"/>
  </w:num>
  <w:num w:numId="14">
    <w:abstractNumId w:val="2"/>
  </w:num>
  <w:num w:numId="15">
    <w:abstractNumId w:val="1"/>
  </w:num>
  <w:num w:numId="16">
    <w:abstractNumId w:val="0"/>
  </w:num>
  <w:num w:numId="17">
    <w:abstractNumId w:val="6"/>
  </w:num>
  <w:num w:numId="18">
    <w:abstractNumId w:val="36"/>
    <w:lvlOverride w:ilvl="0">
      <w:lvl w:ilvl="0">
        <w:start w:val="1"/>
        <w:numFmt w:val="bullet"/>
        <w:lvlText w:val=""/>
        <w:lvlJc w:val="left"/>
        <w:pPr>
          <w:ind w:left="425" w:hanging="425"/>
        </w:pPr>
        <w:rPr>
          <w:rFonts w:ascii="Symbol" w:hAnsi="Symbol" w:hint="default"/>
          <w:color w:val="003150"/>
        </w:rPr>
      </w:lvl>
    </w:lvlOverride>
    <w:lvlOverride w:ilvl="1">
      <w:lvl w:ilvl="1">
        <w:start w:val="1"/>
        <w:numFmt w:val="bullet"/>
        <w:lvlText w:val=""/>
        <w:lvlJc w:val="left"/>
        <w:pPr>
          <w:ind w:left="851" w:hanging="426"/>
        </w:pPr>
        <w:rPr>
          <w:rFonts w:ascii="Symbol" w:hAnsi="Symbol" w:hint="default"/>
          <w:color w:val="auto"/>
        </w:rPr>
      </w:lvl>
    </w:lvlOverride>
  </w:num>
  <w:num w:numId="19">
    <w:abstractNumId w:val="37"/>
  </w:num>
  <w:num w:numId="20">
    <w:abstractNumId w:val="17"/>
  </w:num>
  <w:num w:numId="21">
    <w:abstractNumId w:val="24"/>
  </w:num>
  <w:num w:numId="22">
    <w:abstractNumId w:val="35"/>
  </w:num>
  <w:num w:numId="23">
    <w:abstractNumId w:val="16"/>
  </w:num>
  <w:num w:numId="24">
    <w:abstractNumId w:val="31"/>
  </w:num>
  <w:num w:numId="25">
    <w:abstractNumId w:val="9"/>
  </w:num>
  <w:num w:numId="26">
    <w:abstractNumId w:val="2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4"/>
  </w:num>
  <w:num w:numId="34">
    <w:abstractNumId w:val="39"/>
  </w:num>
  <w:num w:numId="35">
    <w:abstractNumId w:val="41"/>
  </w:num>
  <w:num w:numId="36">
    <w:abstractNumId w:val="12"/>
  </w:num>
  <w:num w:numId="37">
    <w:abstractNumId w:val="7"/>
  </w:num>
  <w:num w:numId="38">
    <w:abstractNumId w:val="10"/>
  </w:num>
  <w:num w:numId="39">
    <w:abstractNumId w:val="4"/>
  </w:num>
  <w:num w:numId="40">
    <w:abstractNumId w:val="38"/>
  </w:num>
  <w:num w:numId="41">
    <w:abstractNumId w:val="23"/>
  </w:num>
  <w:num w:numId="42">
    <w:abstractNumId w:val="46"/>
  </w:num>
  <w:num w:numId="43">
    <w:abstractNumId w:val="32"/>
  </w:num>
  <w:num w:numId="44">
    <w:abstractNumId w:val="19"/>
  </w:num>
  <w:num w:numId="45">
    <w:abstractNumId w:val="43"/>
  </w:num>
  <w:num w:numId="46">
    <w:abstractNumId w:val="45"/>
  </w:num>
  <w:num w:numId="47">
    <w:abstractNumId w:val="25"/>
  </w:num>
  <w:num w:numId="48">
    <w:abstractNumId w:val="11"/>
  </w:num>
  <w:num w:numId="49">
    <w:abstractNumId w:val="13"/>
  </w:num>
  <w:num w:numId="50">
    <w:abstractNumId w:val="38"/>
    <w:lvlOverride w:ilvl="0">
      <w:lvl w:ilvl="0">
        <w:start w:val="1"/>
        <w:numFmt w:val="decimal"/>
        <w:pStyle w:val="Heading2"/>
        <w:lvlText w:val="%1"/>
        <w:lvlJc w:val="left"/>
        <w:pPr>
          <w:ind w:left="567" w:hanging="567"/>
        </w:pPr>
        <w:rPr>
          <w:rFonts w:hint="default"/>
        </w:rPr>
      </w:lvl>
    </w:lvlOverride>
    <w:lvlOverride w:ilvl="1">
      <w:lvl w:ilvl="1">
        <w:start w:val="1"/>
        <w:numFmt w:val="decimal"/>
        <w:pStyle w:val="Heading3"/>
        <w:lvlText w:val="%1.%2"/>
        <w:lvlJc w:val="left"/>
        <w:pPr>
          <w:ind w:left="709" w:hanging="567"/>
        </w:pPr>
        <w:rPr>
          <w:rFonts w:hint="default"/>
        </w:rPr>
      </w:lvl>
    </w:lvlOverride>
    <w:lvlOverride w:ilvl="2">
      <w:lvl w:ilvl="2">
        <w:start w:val="1"/>
        <w:numFmt w:val="lowerRoman"/>
        <w:lvlText w:val="%3)"/>
        <w:lvlJc w:val="left"/>
        <w:pPr>
          <w:ind w:left="567" w:hanging="567"/>
        </w:pPr>
        <w:rPr>
          <w:rFonts w:hint="default"/>
        </w:rPr>
      </w:lvl>
    </w:lvlOverride>
    <w:lvlOverride w:ilvl="3">
      <w:lvl w:ilvl="3">
        <w:start w:val="1"/>
        <w:numFmt w:val="decimal"/>
        <w:lvlText w:val="(%4)"/>
        <w:lvlJc w:val="left"/>
        <w:pPr>
          <w:ind w:left="567" w:hanging="567"/>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51">
    <w:abstractNumId w:val="30"/>
  </w:num>
  <w:num w:numId="52">
    <w:abstractNumId w:val="33"/>
  </w:num>
  <w:num w:numId="53">
    <w:abstractNumId w:val="27"/>
  </w:num>
  <w:num w:numId="54">
    <w:abstractNumId w:val="8"/>
  </w:num>
  <w:num w:numId="55">
    <w:abstractNumId w:val="42"/>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85"/>
    <w:rsid w:val="00001DE4"/>
    <w:rsid w:val="00003015"/>
    <w:rsid w:val="00003593"/>
    <w:rsid w:val="00005696"/>
    <w:rsid w:val="00005D40"/>
    <w:rsid w:val="00007BD7"/>
    <w:rsid w:val="00010A43"/>
    <w:rsid w:val="000134AE"/>
    <w:rsid w:val="00013CCF"/>
    <w:rsid w:val="000143B7"/>
    <w:rsid w:val="0001609F"/>
    <w:rsid w:val="00017187"/>
    <w:rsid w:val="00017651"/>
    <w:rsid w:val="00017F31"/>
    <w:rsid w:val="00022231"/>
    <w:rsid w:val="000228CC"/>
    <w:rsid w:val="0002357D"/>
    <w:rsid w:val="00023B5B"/>
    <w:rsid w:val="00023DE8"/>
    <w:rsid w:val="00023EF3"/>
    <w:rsid w:val="000261F6"/>
    <w:rsid w:val="00026A6B"/>
    <w:rsid w:val="00026CA2"/>
    <w:rsid w:val="00027D15"/>
    <w:rsid w:val="00030048"/>
    <w:rsid w:val="00030E29"/>
    <w:rsid w:val="00033258"/>
    <w:rsid w:val="000360B8"/>
    <w:rsid w:val="000366FA"/>
    <w:rsid w:val="00037326"/>
    <w:rsid w:val="000377FC"/>
    <w:rsid w:val="0004050C"/>
    <w:rsid w:val="00043BE7"/>
    <w:rsid w:val="000448A4"/>
    <w:rsid w:val="00045151"/>
    <w:rsid w:val="0004649D"/>
    <w:rsid w:val="000466DD"/>
    <w:rsid w:val="00047713"/>
    <w:rsid w:val="00047E6E"/>
    <w:rsid w:val="000506C9"/>
    <w:rsid w:val="00050B4C"/>
    <w:rsid w:val="00050BDE"/>
    <w:rsid w:val="00051414"/>
    <w:rsid w:val="00052057"/>
    <w:rsid w:val="00052A94"/>
    <w:rsid w:val="000545C8"/>
    <w:rsid w:val="00055C41"/>
    <w:rsid w:val="00056FB2"/>
    <w:rsid w:val="00057C72"/>
    <w:rsid w:val="00057EEF"/>
    <w:rsid w:val="00057FFA"/>
    <w:rsid w:val="00060799"/>
    <w:rsid w:val="00061183"/>
    <w:rsid w:val="00062EF4"/>
    <w:rsid w:val="00063E5E"/>
    <w:rsid w:val="00064B2D"/>
    <w:rsid w:val="00064CF0"/>
    <w:rsid w:val="00066783"/>
    <w:rsid w:val="0007026C"/>
    <w:rsid w:val="00070E68"/>
    <w:rsid w:val="000714AE"/>
    <w:rsid w:val="00076BE4"/>
    <w:rsid w:val="000774BA"/>
    <w:rsid w:val="00077B94"/>
    <w:rsid w:val="00077D89"/>
    <w:rsid w:val="00082B8F"/>
    <w:rsid w:val="00083323"/>
    <w:rsid w:val="00084FE1"/>
    <w:rsid w:val="00085BA8"/>
    <w:rsid w:val="00086880"/>
    <w:rsid w:val="000872B3"/>
    <w:rsid w:val="00087751"/>
    <w:rsid w:val="00087906"/>
    <w:rsid w:val="00087CFF"/>
    <w:rsid w:val="0009003A"/>
    <w:rsid w:val="00090C49"/>
    <w:rsid w:val="000936A9"/>
    <w:rsid w:val="000944D3"/>
    <w:rsid w:val="00094583"/>
    <w:rsid w:val="000948F2"/>
    <w:rsid w:val="00095548"/>
    <w:rsid w:val="00095630"/>
    <w:rsid w:val="00096017"/>
    <w:rsid w:val="000972BE"/>
    <w:rsid w:val="000974F5"/>
    <w:rsid w:val="000975F5"/>
    <w:rsid w:val="000A0336"/>
    <w:rsid w:val="000A04B6"/>
    <w:rsid w:val="000A0F66"/>
    <w:rsid w:val="000A1368"/>
    <w:rsid w:val="000A17F9"/>
    <w:rsid w:val="000A1C7D"/>
    <w:rsid w:val="000A265D"/>
    <w:rsid w:val="000A2D94"/>
    <w:rsid w:val="000A3AA9"/>
    <w:rsid w:val="000A428A"/>
    <w:rsid w:val="000A544F"/>
    <w:rsid w:val="000A5BAF"/>
    <w:rsid w:val="000A6003"/>
    <w:rsid w:val="000A61EF"/>
    <w:rsid w:val="000A6B44"/>
    <w:rsid w:val="000B0817"/>
    <w:rsid w:val="000B16E3"/>
    <w:rsid w:val="000B1858"/>
    <w:rsid w:val="000B1AE8"/>
    <w:rsid w:val="000B2309"/>
    <w:rsid w:val="000B495E"/>
    <w:rsid w:val="000B4D61"/>
    <w:rsid w:val="000B5FB4"/>
    <w:rsid w:val="000B6114"/>
    <w:rsid w:val="000C0593"/>
    <w:rsid w:val="000C0905"/>
    <w:rsid w:val="000C1F49"/>
    <w:rsid w:val="000C309E"/>
    <w:rsid w:val="000C3ECF"/>
    <w:rsid w:val="000C4404"/>
    <w:rsid w:val="000C612E"/>
    <w:rsid w:val="000C634E"/>
    <w:rsid w:val="000D00B9"/>
    <w:rsid w:val="000D06DB"/>
    <w:rsid w:val="000D14BD"/>
    <w:rsid w:val="000D1703"/>
    <w:rsid w:val="000D2A70"/>
    <w:rsid w:val="000D2A88"/>
    <w:rsid w:val="000D3FC4"/>
    <w:rsid w:val="000D4DE9"/>
    <w:rsid w:val="000D53BB"/>
    <w:rsid w:val="000D5983"/>
    <w:rsid w:val="000D5C0F"/>
    <w:rsid w:val="000D6BD3"/>
    <w:rsid w:val="000D6CBF"/>
    <w:rsid w:val="000E000B"/>
    <w:rsid w:val="000E0ACC"/>
    <w:rsid w:val="000E0CDF"/>
    <w:rsid w:val="000E18D8"/>
    <w:rsid w:val="000E2691"/>
    <w:rsid w:val="000E2811"/>
    <w:rsid w:val="000E2F2E"/>
    <w:rsid w:val="000E387F"/>
    <w:rsid w:val="000E39D6"/>
    <w:rsid w:val="000E4E20"/>
    <w:rsid w:val="000E5504"/>
    <w:rsid w:val="000E5D3A"/>
    <w:rsid w:val="000E60C2"/>
    <w:rsid w:val="000E62A9"/>
    <w:rsid w:val="000E7AE7"/>
    <w:rsid w:val="000E7AF7"/>
    <w:rsid w:val="000F0912"/>
    <w:rsid w:val="000F3D50"/>
    <w:rsid w:val="000F3E26"/>
    <w:rsid w:val="000F467E"/>
    <w:rsid w:val="000F5227"/>
    <w:rsid w:val="000F6639"/>
    <w:rsid w:val="000F7CFE"/>
    <w:rsid w:val="00100026"/>
    <w:rsid w:val="00101145"/>
    <w:rsid w:val="00101156"/>
    <w:rsid w:val="0010151E"/>
    <w:rsid w:val="00101C04"/>
    <w:rsid w:val="00102C0F"/>
    <w:rsid w:val="00103545"/>
    <w:rsid w:val="00103977"/>
    <w:rsid w:val="001039D0"/>
    <w:rsid w:val="00103E8F"/>
    <w:rsid w:val="001049C9"/>
    <w:rsid w:val="001050E1"/>
    <w:rsid w:val="00105267"/>
    <w:rsid w:val="00105678"/>
    <w:rsid w:val="001061CC"/>
    <w:rsid w:val="00110B33"/>
    <w:rsid w:val="001127F6"/>
    <w:rsid w:val="00112AAE"/>
    <w:rsid w:val="00112D5F"/>
    <w:rsid w:val="00112DA1"/>
    <w:rsid w:val="0011518F"/>
    <w:rsid w:val="00115530"/>
    <w:rsid w:val="00115FF7"/>
    <w:rsid w:val="00116234"/>
    <w:rsid w:val="001176CF"/>
    <w:rsid w:val="00121F3C"/>
    <w:rsid w:val="001225D5"/>
    <w:rsid w:val="00122646"/>
    <w:rsid w:val="00122F90"/>
    <w:rsid w:val="0012314E"/>
    <w:rsid w:val="00126DAE"/>
    <w:rsid w:val="00127722"/>
    <w:rsid w:val="00131E6E"/>
    <w:rsid w:val="001321B2"/>
    <w:rsid w:val="001326DA"/>
    <w:rsid w:val="00135DE9"/>
    <w:rsid w:val="00136822"/>
    <w:rsid w:val="0013684A"/>
    <w:rsid w:val="0013711B"/>
    <w:rsid w:val="00140BCD"/>
    <w:rsid w:val="00141865"/>
    <w:rsid w:val="00141B93"/>
    <w:rsid w:val="00141F24"/>
    <w:rsid w:val="001433F4"/>
    <w:rsid w:val="0014340C"/>
    <w:rsid w:val="001436CB"/>
    <w:rsid w:val="001436F5"/>
    <w:rsid w:val="001437C9"/>
    <w:rsid w:val="00144DFA"/>
    <w:rsid w:val="001453E6"/>
    <w:rsid w:val="00145A52"/>
    <w:rsid w:val="00145E68"/>
    <w:rsid w:val="00146C82"/>
    <w:rsid w:val="00150230"/>
    <w:rsid w:val="001507DB"/>
    <w:rsid w:val="001507E3"/>
    <w:rsid w:val="00151461"/>
    <w:rsid w:val="001515D3"/>
    <w:rsid w:val="00151C00"/>
    <w:rsid w:val="00151F61"/>
    <w:rsid w:val="001520CA"/>
    <w:rsid w:val="00152159"/>
    <w:rsid w:val="001530AB"/>
    <w:rsid w:val="0015465E"/>
    <w:rsid w:val="00154A57"/>
    <w:rsid w:val="001551AA"/>
    <w:rsid w:val="00155216"/>
    <w:rsid w:val="001552A4"/>
    <w:rsid w:val="00155A7E"/>
    <w:rsid w:val="00155B88"/>
    <w:rsid w:val="00156450"/>
    <w:rsid w:val="00156C5C"/>
    <w:rsid w:val="00157D4E"/>
    <w:rsid w:val="001610E1"/>
    <w:rsid w:val="00161850"/>
    <w:rsid w:val="001624A0"/>
    <w:rsid w:val="00162651"/>
    <w:rsid w:val="00164672"/>
    <w:rsid w:val="00164C49"/>
    <w:rsid w:val="00165943"/>
    <w:rsid w:val="00165A55"/>
    <w:rsid w:val="00166B5A"/>
    <w:rsid w:val="00170AFC"/>
    <w:rsid w:val="00171170"/>
    <w:rsid w:val="001738A7"/>
    <w:rsid w:val="0017466A"/>
    <w:rsid w:val="00174D3E"/>
    <w:rsid w:val="001805FB"/>
    <w:rsid w:val="001826AD"/>
    <w:rsid w:val="00182FEC"/>
    <w:rsid w:val="00183141"/>
    <w:rsid w:val="001834EB"/>
    <w:rsid w:val="001857BF"/>
    <w:rsid w:val="001861FA"/>
    <w:rsid w:val="0018630A"/>
    <w:rsid w:val="00186423"/>
    <w:rsid w:val="00186627"/>
    <w:rsid w:val="00186708"/>
    <w:rsid w:val="00186958"/>
    <w:rsid w:val="00190414"/>
    <w:rsid w:val="00190701"/>
    <w:rsid w:val="0019151D"/>
    <w:rsid w:val="001934C4"/>
    <w:rsid w:val="0019669E"/>
    <w:rsid w:val="001A0136"/>
    <w:rsid w:val="001A0620"/>
    <w:rsid w:val="001A1CE0"/>
    <w:rsid w:val="001A26E4"/>
    <w:rsid w:val="001A6B48"/>
    <w:rsid w:val="001A6B90"/>
    <w:rsid w:val="001A78E0"/>
    <w:rsid w:val="001A7EA3"/>
    <w:rsid w:val="001B0010"/>
    <w:rsid w:val="001B02E4"/>
    <w:rsid w:val="001B07A3"/>
    <w:rsid w:val="001B1598"/>
    <w:rsid w:val="001B1B5D"/>
    <w:rsid w:val="001B2370"/>
    <w:rsid w:val="001B2685"/>
    <w:rsid w:val="001B3673"/>
    <w:rsid w:val="001B3E04"/>
    <w:rsid w:val="001B570E"/>
    <w:rsid w:val="001B6729"/>
    <w:rsid w:val="001B723D"/>
    <w:rsid w:val="001B751E"/>
    <w:rsid w:val="001B7F3F"/>
    <w:rsid w:val="001C0011"/>
    <w:rsid w:val="001C2B7F"/>
    <w:rsid w:val="001C3421"/>
    <w:rsid w:val="001C34C8"/>
    <w:rsid w:val="001C3EB9"/>
    <w:rsid w:val="001C6321"/>
    <w:rsid w:val="001C7243"/>
    <w:rsid w:val="001D010F"/>
    <w:rsid w:val="001D0CD0"/>
    <w:rsid w:val="001D19D2"/>
    <w:rsid w:val="001D2171"/>
    <w:rsid w:val="001D21C5"/>
    <w:rsid w:val="001D237B"/>
    <w:rsid w:val="001D2E49"/>
    <w:rsid w:val="001D2FF2"/>
    <w:rsid w:val="001D3EA0"/>
    <w:rsid w:val="001D3FBE"/>
    <w:rsid w:val="001D46F6"/>
    <w:rsid w:val="001D4A81"/>
    <w:rsid w:val="001D71C2"/>
    <w:rsid w:val="001D79E8"/>
    <w:rsid w:val="001E0961"/>
    <w:rsid w:val="001E0EED"/>
    <w:rsid w:val="001E19BE"/>
    <w:rsid w:val="001E1D89"/>
    <w:rsid w:val="001E2BF1"/>
    <w:rsid w:val="001E2C44"/>
    <w:rsid w:val="001E2D75"/>
    <w:rsid w:val="001E2DD9"/>
    <w:rsid w:val="001E44CD"/>
    <w:rsid w:val="001E4E6C"/>
    <w:rsid w:val="001E592A"/>
    <w:rsid w:val="001E62E1"/>
    <w:rsid w:val="001E6981"/>
    <w:rsid w:val="001E69D5"/>
    <w:rsid w:val="001E6A44"/>
    <w:rsid w:val="001F0334"/>
    <w:rsid w:val="001F08F4"/>
    <w:rsid w:val="001F12E7"/>
    <w:rsid w:val="001F24B8"/>
    <w:rsid w:val="001F2612"/>
    <w:rsid w:val="001F2BBF"/>
    <w:rsid w:val="001F3764"/>
    <w:rsid w:val="001F3D9C"/>
    <w:rsid w:val="001F4BEC"/>
    <w:rsid w:val="001F4C00"/>
    <w:rsid w:val="001F5815"/>
    <w:rsid w:val="001F5F3D"/>
    <w:rsid w:val="001F5F62"/>
    <w:rsid w:val="001F6891"/>
    <w:rsid w:val="001F6908"/>
    <w:rsid w:val="001F6ED3"/>
    <w:rsid w:val="001F7B87"/>
    <w:rsid w:val="002006FB"/>
    <w:rsid w:val="002012DC"/>
    <w:rsid w:val="0020237F"/>
    <w:rsid w:val="002030D5"/>
    <w:rsid w:val="002033C9"/>
    <w:rsid w:val="002046EA"/>
    <w:rsid w:val="002062B0"/>
    <w:rsid w:val="0020635C"/>
    <w:rsid w:val="00206938"/>
    <w:rsid w:val="002104D4"/>
    <w:rsid w:val="00210D0D"/>
    <w:rsid w:val="00212850"/>
    <w:rsid w:val="00212A95"/>
    <w:rsid w:val="00212C1E"/>
    <w:rsid w:val="00213B3D"/>
    <w:rsid w:val="00213D6B"/>
    <w:rsid w:val="0021504A"/>
    <w:rsid w:val="00215A29"/>
    <w:rsid w:val="00216A9C"/>
    <w:rsid w:val="00216F11"/>
    <w:rsid w:val="002170D8"/>
    <w:rsid w:val="00217BAA"/>
    <w:rsid w:val="00217D0E"/>
    <w:rsid w:val="002216C6"/>
    <w:rsid w:val="0022181F"/>
    <w:rsid w:val="00224C3D"/>
    <w:rsid w:val="0022552C"/>
    <w:rsid w:val="00226B7A"/>
    <w:rsid w:val="0023040E"/>
    <w:rsid w:val="00230C7C"/>
    <w:rsid w:val="00230C7F"/>
    <w:rsid w:val="00230F38"/>
    <w:rsid w:val="002310A4"/>
    <w:rsid w:val="00231239"/>
    <w:rsid w:val="002327E3"/>
    <w:rsid w:val="00232956"/>
    <w:rsid w:val="00232FEC"/>
    <w:rsid w:val="002351D6"/>
    <w:rsid w:val="0023672B"/>
    <w:rsid w:val="00236BC7"/>
    <w:rsid w:val="002371B6"/>
    <w:rsid w:val="00237570"/>
    <w:rsid w:val="00237613"/>
    <w:rsid w:val="00237ED3"/>
    <w:rsid w:val="00240C13"/>
    <w:rsid w:val="0024341B"/>
    <w:rsid w:val="00244EA9"/>
    <w:rsid w:val="002458C6"/>
    <w:rsid w:val="00245F64"/>
    <w:rsid w:val="00247323"/>
    <w:rsid w:val="0024760B"/>
    <w:rsid w:val="00251803"/>
    <w:rsid w:val="00251E70"/>
    <w:rsid w:val="00252CDF"/>
    <w:rsid w:val="00252D47"/>
    <w:rsid w:val="00254D25"/>
    <w:rsid w:val="0025552C"/>
    <w:rsid w:val="00255A19"/>
    <w:rsid w:val="0025709D"/>
    <w:rsid w:val="00260B1A"/>
    <w:rsid w:val="00261440"/>
    <w:rsid w:val="00263F81"/>
    <w:rsid w:val="002640C1"/>
    <w:rsid w:val="0026512B"/>
    <w:rsid w:val="00266003"/>
    <w:rsid w:val="002662D7"/>
    <w:rsid w:val="0026630B"/>
    <w:rsid w:val="00266566"/>
    <w:rsid w:val="00266D45"/>
    <w:rsid w:val="00267534"/>
    <w:rsid w:val="002708AC"/>
    <w:rsid w:val="00270C84"/>
    <w:rsid w:val="00271E77"/>
    <w:rsid w:val="0027306B"/>
    <w:rsid w:val="00273BD8"/>
    <w:rsid w:val="00273DEE"/>
    <w:rsid w:val="002803E4"/>
    <w:rsid w:val="00280950"/>
    <w:rsid w:val="00280B5A"/>
    <w:rsid w:val="00282921"/>
    <w:rsid w:val="00284C4A"/>
    <w:rsid w:val="00284DA6"/>
    <w:rsid w:val="00286D8F"/>
    <w:rsid w:val="002878E0"/>
    <w:rsid w:val="00290075"/>
    <w:rsid w:val="002902B7"/>
    <w:rsid w:val="002904D8"/>
    <w:rsid w:val="002905B9"/>
    <w:rsid w:val="00291E53"/>
    <w:rsid w:val="002920E7"/>
    <w:rsid w:val="00293042"/>
    <w:rsid w:val="00293A82"/>
    <w:rsid w:val="00293DE5"/>
    <w:rsid w:val="00293E7A"/>
    <w:rsid w:val="00295785"/>
    <w:rsid w:val="00296A1E"/>
    <w:rsid w:val="002972E9"/>
    <w:rsid w:val="002A238F"/>
    <w:rsid w:val="002A2D25"/>
    <w:rsid w:val="002A463C"/>
    <w:rsid w:val="002A5DDC"/>
    <w:rsid w:val="002A71F7"/>
    <w:rsid w:val="002A73B8"/>
    <w:rsid w:val="002A7D41"/>
    <w:rsid w:val="002B19CC"/>
    <w:rsid w:val="002B27CA"/>
    <w:rsid w:val="002B330E"/>
    <w:rsid w:val="002B3B1D"/>
    <w:rsid w:val="002B40F4"/>
    <w:rsid w:val="002B46AF"/>
    <w:rsid w:val="002B4E23"/>
    <w:rsid w:val="002B4ECD"/>
    <w:rsid w:val="002B5295"/>
    <w:rsid w:val="002B6806"/>
    <w:rsid w:val="002B7021"/>
    <w:rsid w:val="002B72FA"/>
    <w:rsid w:val="002B73BA"/>
    <w:rsid w:val="002B7493"/>
    <w:rsid w:val="002C147E"/>
    <w:rsid w:val="002C2181"/>
    <w:rsid w:val="002C2DF5"/>
    <w:rsid w:val="002C326A"/>
    <w:rsid w:val="002C41D2"/>
    <w:rsid w:val="002C546B"/>
    <w:rsid w:val="002C58CC"/>
    <w:rsid w:val="002C5ECD"/>
    <w:rsid w:val="002C6021"/>
    <w:rsid w:val="002C60D3"/>
    <w:rsid w:val="002C776C"/>
    <w:rsid w:val="002C7AD9"/>
    <w:rsid w:val="002C7C6C"/>
    <w:rsid w:val="002D0A0C"/>
    <w:rsid w:val="002D1087"/>
    <w:rsid w:val="002D1C3B"/>
    <w:rsid w:val="002D2DA6"/>
    <w:rsid w:val="002D2EB4"/>
    <w:rsid w:val="002D3E3F"/>
    <w:rsid w:val="002D5F8D"/>
    <w:rsid w:val="002D66F4"/>
    <w:rsid w:val="002E02BC"/>
    <w:rsid w:val="002E04F8"/>
    <w:rsid w:val="002E07E4"/>
    <w:rsid w:val="002E0BAF"/>
    <w:rsid w:val="002E3EBC"/>
    <w:rsid w:val="002E41C3"/>
    <w:rsid w:val="002E49EC"/>
    <w:rsid w:val="002E525B"/>
    <w:rsid w:val="002E6354"/>
    <w:rsid w:val="002E69B6"/>
    <w:rsid w:val="002F0B16"/>
    <w:rsid w:val="002F0D57"/>
    <w:rsid w:val="002F0EAF"/>
    <w:rsid w:val="002F4669"/>
    <w:rsid w:val="002F5366"/>
    <w:rsid w:val="002F5A7E"/>
    <w:rsid w:val="002F7D65"/>
    <w:rsid w:val="00300721"/>
    <w:rsid w:val="00300A66"/>
    <w:rsid w:val="00300FBC"/>
    <w:rsid w:val="003022CF"/>
    <w:rsid w:val="003022D6"/>
    <w:rsid w:val="00302450"/>
    <w:rsid w:val="00302EB5"/>
    <w:rsid w:val="00303F05"/>
    <w:rsid w:val="00304477"/>
    <w:rsid w:val="00304AD6"/>
    <w:rsid w:val="00304D70"/>
    <w:rsid w:val="0030554E"/>
    <w:rsid w:val="003056E0"/>
    <w:rsid w:val="003064D4"/>
    <w:rsid w:val="00306B3F"/>
    <w:rsid w:val="0031065A"/>
    <w:rsid w:val="003109C3"/>
    <w:rsid w:val="00312263"/>
    <w:rsid w:val="0031231C"/>
    <w:rsid w:val="00312951"/>
    <w:rsid w:val="00313F24"/>
    <w:rsid w:val="00314023"/>
    <w:rsid w:val="00314246"/>
    <w:rsid w:val="003152BD"/>
    <w:rsid w:val="00315776"/>
    <w:rsid w:val="00316313"/>
    <w:rsid w:val="00316438"/>
    <w:rsid w:val="003176B9"/>
    <w:rsid w:val="0031795A"/>
    <w:rsid w:val="0032077C"/>
    <w:rsid w:val="003209C7"/>
    <w:rsid w:val="00320AEF"/>
    <w:rsid w:val="00321E2F"/>
    <w:rsid w:val="00322903"/>
    <w:rsid w:val="00322FBE"/>
    <w:rsid w:val="003238A7"/>
    <w:rsid w:val="00323F28"/>
    <w:rsid w:val="00325A3D"/>
    <w:rsid w:val="00325F6D"/>
    <w:rsid w:val="00326AD9"/>
    <w:rsid w:val="003305A3"/>
    <w:rsid w:val="00330819"/>
    <w:rsid w:val="00330A4C"/>
    <w:rsid w:val="0033175E"/>
    <w:rsid w:val="003320D5"/>
    <w:rsid w:val="00332890"/>
    <w:rsid w:val="0033326F"/>
    <w:rsid w:val="00333327"/>
    <w:rsid w:val="00334138"/>
    <w:rsid w:val="00334294"/>
    <w:rsid w:val="00334956"/>
    <w:rsid w:val="003367E8"/>
    <w:rsid w:val="00337D96"/>
    <w:rsid w:val="00340588"/>
    <w:rsid w:val="003407A2"/>
    <w:rsid w:val="003421C2"/>
    <w:rsid w:val="0034460D"/>
    <w:rsid w:val="00345523"/>
    <w:rsid w:val="00346C22"/>
    <w:rsid w:val="00347579"/>
    <w:rsid w:val="003476C7"/>
    <w:rsid w:val="00347D9B"/>
    <w:rsid w:val="00350977"/>
    <w:rsid w:val="00350DD6"/>
    <w:rsid w:val="00351609"/>
    <w:rsid w:val="00351B63"/>
    <w:rsid w:val="0035280F"/>
    <w:rsid w:val="00352A65"/>
    <w:rsid w:val="00352CDC"/>
    <w:rsid w:val="00355441"/>
    <w:rsid w:val="003555D3"/>
    <w:rsid w:val="00355C76"/>
    <w:rsid w:val="003568AC"/>
    <w:rsid w:val="00357A9E"/>
    <w:rsid w:val="00360200"/>
    <w:rsid w:val="00360994"/>
    <w:rsid w:val="003611C1"/>
    <w:rsid w:val="00361D91"/>
    <w:rsid w:val="003625C2"/>
    <w:rsid w:val="00362969"/>
    <w:rsid w:val="00362D8B"/>
    <w:rsid w:val="00363506"/>
    <w:rsid w:val="00364256"/>
    <w:rsid w:val="00364ACF"/>
    <w:rsid w:val="00365237"/>
    <w:rsid w:val="003657BD"/>
    <w:rsid w:val="0036584E"/>
    <w:rsid w:val="0036601C"/>
    <w:rsid w:val="00367314"/>
    <w:rsid w:val="00367DF9"/>
    <w:rsid w:val="003702D7"/>
    <w:rsid w:val="003703D3"/>
    <w:rsid w:val="00371110"/>
    <w:rsid w:val="003726C0"/>
    <w:rsid w:val="0037491C"/>
    <w:rsid w:val="00374DCE"/>
    <w:rsid w:val="003750CB"/>
    <w:rsid w:val="0037524F"/>
    <w:rsid w:val="00375278"/>
    <w:rsid w:val="00380779"/>
    <w:rsid w:val="00380844"/>
    <w:rsid w:val="0038098E"/>
    <w:rsid w:val="00382150"/>
    <w:rsid w:val="003839F4"/>
    <w:rsid w:val="00383EF3"/>
    <w:rsid w:val="00384612"/>
    <w:rsid w:val="003847E4"/>
    <w:rsid w:val="00384D6C"/>
    <w:rsid w:val="00386E6F"/>
    <w:rsid w:val="00386EB3"/>
    <w:rsid w:val="00386F4A"/>
    <w:rsid w:val="00386F88"/>
    <w:rsid w:val="003870B2"/>
    <w:rsid w:val="00390F36"/>
    <w:rsid w:val="003916F8"/>
    <w:rsid w:val="0039214A"/>
    <w:rsid w:val="00392BA8"/>
    <w:rsid w:val="00393314"/>
    <w:rsid w:val="00393D0E"/>
    <w:rsid w:val="00393EE6"/>
    <w:rsid w:val="00395E35"/>
    <w:rsid w:val="00396985"/>
    <w:rsid w:val="00397121"/>
    <w:rsid w:val="0039751C"/>
    <w:rsid w:val="003A1663"/>
    <w:rsid w:val="003A1C44"/>
    <w:rsid w:val="003A2DD2"/>
    <w:rsid w:val="003A2F78"/>
    <w:rsid w:val="003A537F"/>
    <w:rsid w:val="003A5778"/>
    <w:rsid w:val="003A6289"/>
    <w:rsid w:val="003A7108"/>
    <w:rsid w:val="003A7466"/>
    <w:rsid w:val="003A78EC"/>
    <w:rsid w:val="003B0525"/>
    <w:rsid w:val="003B065A"/>
    <w:rsid w:val="003B0B63"/>
    <w:rsid w:val="003B1C33"/>
    <w:rsid w:val="003B241F"/>
    <w:rsid w:val="003B2F6B"/>
    <w:rsid w:val="003B376D"/>
    <w:rsid w:val="003B37A6"/>
    <w:rsid w:val="003B4045"/>
    <w:rsid w:val="003B4459"/>
    <w:rsid w:val="003B490A"/>
    <w:rsid w:val="003B578C"/>
    <w:rsid w:val="003B5F7D"/>
    <w:rsid w:val="003B643C"/>
    <w:rsid w:val="003B6461"/>
    <w:rsid w:val="003B68E8"/>
    <w:rsid w:val="003B79FC"/>
    <w:rsid w:val="003C1E89"/>
    <w:rsid w:val="003C24C0"/>
    <w:rsid w:val="003C39F7"/>
    <w:rsid w:val="003C3C2F"/>
    <w:rsid w:val="003C3C7E"/>
    <w:rsid w:val="003C5381"/>
    <w:rsid w:val="003C5999"/>
    <w:rsid w:val="003C5BE8"/>
    <w:rsid w:val="003C5C4F"/>
    <w:rsid w:val="003C5D2C"/>
    <w:rsid w:val="003C7C47"/>
    <w:rsid w:val="003D1068"/>
    <w:rsid w:val="003D1741"/>
    <w:rsid w:val="003D20E9"/>
    <w:rsid w:val="003D29A7"/>
    <w:rsid w:val="003D3331"/>
    <w:rsid w:val="003D48B6"/>
    <w:rsid w:val="003D5404"/>
    <w:rsid w:val="003E0488"/>
    <w:rsid w:val="003E064B"/>
    <w:rsid w:val="003E072D"/>
    <w:rsid w:val="003E0D3F"/>
    <w:rsid w:val="003E1DB1"/>
    <w:rsid w:val="003E3C36"/>
    <w:rsid w:val="003E5208"/>
    <w:rsid w:val="003E56AD"/>
    <w:rsid w:val="003E5EA6"/>
    <w:rsid w:val="003E5FBD"/>
    <w:rsid w:val="003E687E"/>
    <w:rsid w:val="003E6D36"/>
    <w:rsid w:val="003E73D4"/>
    <w:rsid w:val="003E74B6"/>
    <w:rsid w:val="003E7F93"/>
    <w:rsid w:val="003F2262"/>
    <w:rsid w:val="003F2D72"/>
    <w:rsid w:val="003F37AF"/>
    <w:rsid w:val="003F682A"/>
    <w:rsid w:val="003F6A12"/>
    <w:rsid w:val="004020F5"/>
    <w:rsid w:val="00402B0B"/>
    <w:rsid w:val="00403DBA"/>
    <w:rsid w:val="004061B0"/>
    <w:rsid w:val="00406BFF"/>
    <w:rsid w:val="00407250"/>
    <w:rsid w:val="00411067"/>
    <w:rsid w:val="00411435"/>
    <w:rsid w:val="004128FD"/>
    <w:rsid w:val="00412B4B"/>
    <w:rsid w:val="00412D1F"/>
    <w:rsid w:val="00413872"/>
    <w:rsid w:val="00413BD3"/>
    <w:rsid w:val="0041469B"/>
    <w:rsid w:val="004157EE"/>
    <w:rsid w:val="004158BB"/>
    <w:rsid w:val="004167C5"/>
    <w:rsid w:val="00416A0C"/>
    <w:rsid w:val="00416EDC"/>
    <w:rsid w:val="0041715A"/>
    <w:rsid w:val="00420862"/>
    <w:rsid w:val="00421395"/>
    <w:rsid w:val="00421C65"/>
    <w:rsid w:val="0042213F"/>
    <w:rsid w:val="004224A7"/>
    <w:rsid w:val="00422859"/>
    <w:rsid w:val="00422D49"/>
    <w:rsid w:val="00423A6A"/>
    <w:rsid w:val="004250C9"/>
    <w:rsid w:val="004259B4"/>
    <w:rsid w:val="00425BCA"/>
    <w:rsid w:val="00426ABA"/>
    <w:rsid w:val="004273C8"/>
    <w:rsid w:val="004277BC"/>
    <w:rsid w:val="004277F6"/>
    <w:rsid w:val="00427E23"/>
    <w:rsid w:val="004306EE"/>
    <w:rsid w:val="00430E30"/>
    <w:rsid w:val="0043301C"/>
    <w:rsid w:val="0043315A"/>
    <w:rsid w:val="00433614"/>
    <w:rsid w:val="00433777"/>
    <w:rsid w:val="00433DAC"/>
    <w:rsid w:val="0043426A"/>
    <w:rsid w:val="004348AE"/>
    <w:rsid w:val="00435087"/>
    <w:rsid w:val="0043720D"/>
    <w:rsid w:val="00437634"/>
    <w:rsid w:val="00437A81"/>
    <w:rsid w:val="00440D33"/>
    <w:rsid w:val="0044167C"/>
    <w:rsid w:val="0044202A"/>
    <w:rsid w:val="00445BF7"/>
    <w:rsid w:val="00445C60"/>
    <w:rsid w:val="00445EA2"/>
    <w:rsid w:val="00446399"/>
    <w:rsid w:val="00446926"/>
    <w:rsid w:val="00446AE6"/>
    <w:rsid w:val="004472FD"/>
    <w:rsid w:val="004479F5"/>
    <w:rsid w:val="00451221"/>
    <w:rsid w:val="00451FE9"/>
    <w:rsid w:val="0045278E"/>
    <w:rsid w:val="004527C9"/>
    <w:rsid w:val="00452EAC"/>
    <w:rsid w:val="00453466"/>
    <w:rsid w:val="00453910"/>
    <w:rsid w:val="0045405B"/>
    <w:rsid w:val="0045519E"/>
    <w:rsid w:val="0045520E"/>
    <w:rsid w:val="00455311"/>
    <w:rsid w:val="0045557D"/>
    <w:rsid w:val="004558A1"/>
    <w:rsid w:val="00456746"/>
    <w:rsid w:val="00456911"/>
    <w:rsid w:val="00460397"/>
    <w:rsid w:val="00461193"/>
    <w:rsid w:val="00461807"/>
    <w:rsid w:val="00461B74"/>
    <w:rsid w:val="00461F1A"/>
    <w:rsid w:val="00462F0C"/>
    <w:rsid w:val="00463229"/>
    <w:rsid w:val="00463C6A"/>
    <w:rsid w:val="00464143"/>
    <w:rsid w:val="00464196"/>
    <w:rsid w:val="004642F5"/>
    <w:rsid w:val="004661D8"/>
    <w:rsid w:val="00466BBF"/>
    <w:rsid w:val="0047014D"/>
    <w:rsid w:val="0047029F"/>
    <w:rsid w:val="004724CD"/>
    <w:rsid w:val="0047319B"/>
    <w:rsid w:val="00474108"/>
    <w:rsid w:val="00474352"/>
    <w:rsid w:val="004743E4"/>
    <w:rsid w:val="004753D8"/>
    <w:rsid w:val="004754C1"/>
    <w:rsid w:val="004763C6"/>
    <w:rsid w:val="004768F7"/>
    <w:rsid w:val="004769BF"/>
    <w:rsid w:val="00477F0B"/>
    <w:rsid w:val="0048032E"/>
    <w:rsid w:val="00480B03"/>
    <w:rsid w:val="0048130D"/>
    <w:rsid w:val="00482839"/>
    <w:rsid w:val="0048631F"/>
    <w:rsid w:val="00487665"/>
    <w:rsid w:val="00487E5F"/>
    <w:rsid w:val="0049151C"/>
    <w:rsid w:val="0049262B"/>
    <w:rsid w:val="00492ABE"/>
    <w:rsid w:val="0049321C"/>
    <w:rsid w:val="004935DA"/>
    <w:rsid w:val="004936B2"/>
    <w:rsid w:val="00493C93"/>
    <w:rsid w:val="0049525C"/>
    <w:rsid w:val="00495F54"/>
    <w:rsid w:val="004968CB"/>
    <w:rsid w:val="00496F4C"/>
    <w:rsid w:val="004975BA"/>
    <w:rsid w:val="00497A2E"/>
    <w:rsid w:val="004A00FC"/>
    <w:rsid w:val="004A058B"/>
    <w:rsid w:val="004A073C"/>
    <w:rsid w:val="004A0CA9"/>
    <w:rsid w:val="004A0EA9"/>
    <w:rsid w:val="004A1378"/>
    <w:rsid w:val="004A1825"/>
    <w:rsid w:val="004A19B0"/>
    <w:rsid w:val="004A1A77"/>
    <w:rsid w:val="004A23F2"/>
    <w:rsid w:val="004A2E0F"/>
    <w:rsid w:val="004A46DA"/>
    <w:rsid w:val="004A491C"/>
    <w:rsid w:val="004A5FA6"/>
    <w:rsid w:val="004A61E5"/>
    <w:rsid w:val="004A6590"/>
    <w:rsid w:val="004A7F7F"/>
    <w:rsid w:val="004B07CE"/>
    <w:rsid w:val="004B0828"/>
    <w:rsid w:val="004B08B4"/>
    <w:rsid w:val="004B1392"/>
    <w:rsid w:val="004B2393"/>
    <w:rsid w:val="004B2516"/>
    <w:rsid w:val="004B3B13"/>
    <w:rsid w:val="004B403E"/>
    <w:rsid w:val="004B4B89"/>
    <w:rsid w:val="004B5D06"/>
    <w:rsid w:val="004B60EB"/>
    <w:rsid w:val="004B624A"/>
    <w:rsid w:val="004B68E0"/>
    <w:rsid w:val="004B7E80"/>
    <w:rsid w:val="004C2A95"/>
    <w:rsid w:val="004C4ACE"/>
    <w:rsid w:val="004C53E8"/>
    <w:rsid w:val="004C5611"/>
    <w:rsid w:val="004C5BBB"/>
    <w:rsid w:val="004C7059"/>
    <w:rsid w:val="004C7265"/>
    <w:rsid w:val="004C7FE3"/>
    <w:rsid w:val="004D042A"/>
    <w:rsid w:val="004D0DC9"/>
    <w:rsid w:val="004D1074"/>
    <w:rsid w:val="004D3209"/>
    <w:rsid w:val="004D3421"/>
    <w:rsid w:val="004D39A8"/>
    <w:rsid w:val="004D47D7"/>
    <w:rsid w:val="004D4FD7"/>
    <w:rsid w:val="004D66DB"/>
    <w:rsid w:val="004D7608"/>
    <w:rsid w:val="004D7AAB"/>
    <w:rsid w:val="004E204A"/>
    <w:rsid w:val="004E21B3"/>
    <w:rsid w:val="004E3D02"/>
    <w:rsid w:val="004E4DC4"/>
    <w:rsid w:val="004E5FD1"/>
    <w:rsid w:val="004E78AC"/>
    <w:rsid w:val="004F11C7"/>
    <w:rsid w:val="004F18CF"/>
    <w:rsid w:val="004F25D9"/>
    <w:rsid w:val="004F2C69"/>
    <w:rsid w:val="004F6774"/>
    <w:rsid w:val="004F7201"/>
    <w:rsid w:val="004F781C"/>
    <w:rsid w:val="004F7A35"/>
    <w:rsid w:val="0050092F"/>
    <w:rsid w:val="00500E05"/>
    <w:rsid w:val="0050132B"/>
    <w:rsid w:val="00501BF7"/>
    <w:rsid w:val="005025BD"/>
    <w:rsid w:val="0050336A"/>
    <w:rsid w:val="00504A79"/>
    <w:rsid w:val="00506659"/>
    <w:rsid w:val="00507244"/>
    <w:rsid w:val="00510E8D"/>
    <w:rsid w:val="00511627"/>
    <w:rsid w:val="00511D18"/>
    <w:rsid w:val="00511FB0"/>
    <w:rsid w:val="005133C7"/>
    <w:rsid w:val="0051491A"/>
    <w:rsid w:val="00514FE7"/>
    <w:rsid w:val="00516616"/>
    <w:rsid w:val="00516DAF"/>
    <w:rsid w:val="0051739A"/>
    <w:rsid w:val="00520B3C"/>
    <w:rsid w:val="00520F8E"/>
    <w:rsid w:val="0052101A"/>
    <w:rsid w:val="00521ED3"/>
    <w:rsid w:val="0052405E"/>
    <w:rsid w:val="00524690"/>
    <w:rsid w:val="00524CB0"/>
    <w:rsid w:val="0052530B"/>
    <w:rsid w:val="00526427"/>
    <w:rsid w:val="00526B73"/>
    <w:rsid w:val="00526C19"/>
    <w:rsid w:val="00526C4D"/>
    <w:rsid w:val="0052763B"/>
    <w:rsid w:val="00527B69"/>
    <w:rsid w:val="00530187"/>
    <w:rsid w:val="005316ED"/>
    <w:rsid w:val="005319FD"/>
    <w:rsid w:val="005324CA"/>
    <w:rsid w:val="0053326A"/>
    <w:rsid w:val="005337C5"/>
    <w:rsid w:val="005349B3"/>
    <w:rsid w:val="0053784F"/>
    <w:rsid w:val="00537CEA"/>
    <w:rsid w:val="00540734"/>
    <w:rsid w:val="00541B0D"/>
    <w:rsid w:val="00541D33"/>
    <w:rsid w:val="00542C5A"/>
    <w:rsid w:val="00543338"/>
    <w:rsid w:val="0054359A"/>
    <w:rsid w:val="00543801"/>
    <w:rsid w:val="00543CF6"/>
    <w:rsid w:val="00543E6F"/>
    <w:rsid w:val="00544E9D"/>
    <w:rsid w:val="005465B0"/>
    <w:rsid w:val="005472E0"/>
    <w:rsid w:val="0054747E"/>
    <w:rsid w:val="00547E22"/>
    <w:rsid w:val="0055071B"/>
    <w:rsid w:val="005510A0"/>
    <w:rsid w:val="00553A27"/>
    <w:rsid w:val="00555E1D"/>
    <w:rsid w:val="00555FD2"/>
    <w:rsid w:val="005561C4"/>
    <w:rsid w:val="0055772E"/>
    <w:rsid w:val="00557D50"/>
    <w:rsid w:val="00561658"/>
    <w:rsid w:val="005617FB"/>
    <w:rsid w:val="00562E9F"/>
    <w:rsid w:val="005635C9"/>
    <w:rsid w:val="00563935"/>
    <w:rsid w:val="00563B6B"/>
    <w:rsid w:val="00564032"/>
    <w:rsid w:val="00564A70"/>
    <w:rsid w:val="00564B8D"/>
    <w:rsid w:val="00564E5E"/>
    <w:rsid w:val="00565E08"/>
    <w:rsid w:val="00566C8C"/>
    <w:rsid w:val="005671D7"/>
    <w:rsid w:val="0056773D"/>
    <w:rsid w:val="00570029"/>
    <w:rsid w:val="00570058"/>
    <w:rsid w:val="005708F2"/>
    <w:rsid w:val="00570E4B"/>
    <w:rsid w:val="005711E9"/>
    <w:rsid w:val="00571512"/>
    <w:rsid w:val="00572DB5"/>
    <w:rsid w:val="00573092"/>
    <w:rsid w:val="00573095"/>
    <w:rsid w:val="005737C5"/>
    <w:rsid w:val="0057597A"/>
    <w:rsid w:val="00575C04"/>
    <w:rsid w:val="00575FB3"/>
    <w:rsid w:val="005763EA"/>
    <w:rsid w:val="00580391"/>
    <w:rsid w:val="00581A49"/>
    <w:rsid w:val="0058273C"/>
    <w:rsid w:val="005837AB"/>
    <w:rsid w:val="00583C8C"/>
    <w:rsid w:val="00583F0B"/>
    <w:rsid w:val="005844B2"/>
    <w:rsid w:val="00584D20"/>
    <w:rsid w:val="00585F8C"/>
    <w:rsid w:val="0058732E"/>
    <w:rsid w:val="00590531"/>
    <w:rsid w:val="00590F66"/>
    <w:rsid w:val="005913E0"/>
    <w:rsid w:val="00592E9B"/>
    <w:rsid w:val="00592F14"/>
    <w:rsid w:val="00593570"/>
    <w:rsid w:val="005946F7"/>
    <w:rsid w:val="00594CFE"/>
    <w:rsid w:val="005957B8"/>
    <w:rsid w:val="00595FAC"/>
    <w:rsid w:val="00596642"/>
    <w:rsid w:val="00596787"/>
    <w:rsid w:val="00596801"/>
    <w:rsid w:val="00596BC2"/>
    <w:rsid w:val="0059738B"/>
    <w:rsid w:val="005A07B9"/>
    <w:rsid w:val="005A126B"/>
    <w:rsid w:val="005A1914"/>
    <w:rsid w:val="005A2A40"/>
    <w:rsid w:val="005A324E"/>
    <w:rsid w:val="005A3680"/>
    <w:rsid w:val="005A3C0C"/>
    <w:rsid w:val="005A3F2D"/>
    <w:rsid w:val="005A4A25"/>
    <w:rsid w:val="005A5986"/>
    <w:rsid w:val="005A5B0A"/>
    <w:rsid w:val="005A6F2A"/>
    <w:rsid w:val="005A7AA1"/>
    <w:rsid w:val="005A7D07"/>
    <w:rsid w:val="005B38EC"/>
    <w:rsid w:val="005B3F73"/>
    <w:rsid w:val="005B3F9B"/>
    <w:rsid w:val="005B43F2"/>
    <w:rsid w:val="005B7822"/>
    <w:rsid w:val="005B7D36"/>
    <w:rsid w:val="005C0049"/>
    <w:rsid w:val="005C019B"/>
    <w:rsid w:val="005C0A6E"/>
    <w:rsid w:val="005C1971"/>
    <w:rsid w:val="005C2DBF"/>
    <w:rsid w:val="005C529D"/>
    <w:rsid w:val="005C5432"/>
    <w:rsid w:val="005C553E"/>
    <w:rsid w:val="005C7328"/>
    <w:rsid w:val="005D1C9C"/>
    <w:rsid w:val="005D1D67"/>
    <w:rsid w:val="005D236E"/>
    <w:rsid w:val="005D400A"/>
    <w:rsid w:val="005D53D8"/>
    <w:rsid w:val="005D6612"/>
    <w:rsid w:val="005D7B44"/>
    <w:rsid w:val="005E000E"/>
    <w:rsid w:val="005E05D5"/>
    <w:rsid w:val="005E0DD4"/>
    <w:rsid w:val="005E1E40"/>
    <w:rsid w:val="005E227B"/>
    <w:rsid w:val="005E597D"/>
    <w:rsid w:val="005E705A"/>
    <w:rsid w:val="005E7BC2"/>
    <w:rsid w:val="005E7D00"/>
    <w:rsid w:val="005E7D0C"/>
    <w:rsid w:val="005F0286"/>
    <w:rsid w:val="005F0352"/>
    <w:rsid w:val="005F1364"/>
    <w:rsid w:val="005F154E"/>
    <w:rsid w:val="005F26AA"/>
    <w:rsid w:val="005F3123"/>
    <w:rsid w:val="005F4090"/>
    <w:rsid w:val="005F5216"/>
    <w:rsid w:val="005F5BA8"/>
    <w:rsid w:val="005F6280"/>
    <w:rsid w:val="005F7470"/>
    <w:rsid w:val="0060136A"/>
    <w:rsid w:val="0060233F"/>
    <w:rsid w:val="00602AA6"/>
    <w:rsid w:val="00602C7E"/>
    <w:rsid w:val="00603CFA"/>
    <w:rsid w:val="00605ED5"/>
    <w:rsid w:val="006064FB"/>
    <w:rsid w:val="00610B6D"/>
    <w:rsid w:val="0061122D"/>
    <w:rsid w:val="00611453"/>
    <w:rsid w:val="0061183A"/>
    <w:rsid w:val="0061346A"/>
    <w:rsid w:val="006138A2"/>
    <w:rsid w:val="0061534F"/>
    <w:rsid w:val="00615618"/>
    <w:rsid w:val="00615789"/>
    <w:rsid w:val="0061602E"/>
    <w:rsid w:val="00616EEC"/>
    <w:rsid w:val="00617137"/>
    <w:rsid w:val="0061719F"/>
    <w:rsid w:val="0061783F"/>
    <w:rsid w:val="0062054D"/>
    <w:rsid w:val="006209FA"/>
    <w:rsid w:val="006213C1"/>
    <w:rsid w:val="006217A7"/>
    <w:rsid w:val="00621AC5"/>
    <w:rsid w:val="0062243F"/>
    <w:rsid w:val="00622FAC"/>
    <w:rsid w:val="006238D8"/>
    <w:rsid w:val="00623E04"/>
    <w:rsid w:val="006241BC"/>
    <w:rsid w:val="00624C5E"/>
    <w:rsid w:val="006259BA"/>
    <w:rsid w:val="006267EB"/>
    <w:rsid w:val="00626909"/>
    <w:rsid w:val="00626E31"/>
    <w:rsid w:val="00626FF4"/>
    <w:rsid w:val="006275BD"/>
    <w:rsid w:val="006301DF"/>
    <w:rsid w:val="006322BA"/>
    <w:rsid w:val="00632C67"/>
    <w:rsid w:val="00633384"/>
    <w:rsid w:val="0063347E"/>
    <w:rsid w:val="00633AB2"/>
    <w:rsid w:val="00634628"/>
    <w:rsid w:val="00634CBD"/>
    <w:rsid w:val="0063513D"/>
    <w:rsid w:val="00635CBB"/>
    <w:rsid w:val="0063609F"/>
    <w:rsid w:val="006367F0"/>
    <w:rsid w:val="00637334"/>
    <w:rsid w:val="006405FE"/>
    <w:rsid w:val="00640C68"/>
    <w:rsid w:val="00642AE5"/>
    <w:rsid w:val="00643499"/>
    <w:rsid w:val="006452B8"/>
    <w:rsid w:val="0064775C"/>
    <w:rsid w:val="006500D5"/>
    <w:rsid w:val="00652A0D"/>
    <w:rsid w:val="00654816"/>
    <w:rsid w:val="00654C64"/>
    <w:rsid w:val="00654C94"/>
    <w:rsid w:val="0065544E"/>
    <w:rsid w:val="0065561E"/>
    <w:rsid w:val="00655E20"/>
    <w:rsid w:val="00656D90"/>
    <w:rsid w:val="006608F7"/>
    <w:rsid w:val="00660B71"/>
    <w:rsid w:val="00660E98"/>
    <w:rsid w:val="00661ACE"/>
    <w:rsid w:val="00662761"/>
    <w:rsid w:val="00663688"/>
    <w:rsid w:val="00663D7B"/>
    <w:rsid w:val="00663F87"/>
    <w:rsid w:val="00664E1C"/>
    <w:rsid w:val="00664FB1"/>
    <w:rsid w:val="00665612"/>
    <w:rsid w:val="006663BA"/>
    <w:rsid w:val="00667248"/>
    <w:rsid w:val="00667F0F"/>
    <w:rsid w:val="00667FF1"/>
    <w:rsid w:val="006702D8"/>
    <w:rsid w:val="0067057F"/>
    <w:rsid w:val="00670BE3"/>
    <w:rsid w:val="00671460"/>
    <w:rsid w:val="0067199B"/>
    <w:rsid w:val="00671D61"/>
    <w:rsid w:val="006722B1"/>
    <w:rsid w:val="00673BE4"/>
    <w:rsid w:val="00675BD8"/>
    <w:rsid w:val="00675C38"/>
    <w:rsid w:val="006761A0"/>
    <w:rsid w:val="00677CEE"/>
    <w:rsid w:val="00680585"/>
    <w:rsid w:val="00681883"/>
    <w:rsid w:val="006818A0"/>
    <w:rsid w:val="00682159"/>
    <w:rsid w:val="00685539"/>
    <w:rsid w:val="0068648B"/>
    <w:rsid w:val="006865E6"/>
    <w:rsid w:val="00686ED8"/>
    <w:rsid w:val="00692A18"/>
    <w:rsid w:val="00692B1A"/>
    <w:rsid w:val="00692BC1"/>
    <w:rsid w:val="006932ED"/>
    <w:rsid w:val="00693A09"/>
    <w:rsid w:val="00694682"/>
    <w:rsid w:val="00694C94"/>
    <w:rsid w:val="00695174"/>
    <w:rsid w:val="006953D8"/>
    <w:rsid w:val="00695AFE"/>
    <w:rsid w:val="00696209"/>
    <w:rsid w:val="00696552"/>
    <w:rsid w:val="006978A5"/>
    <w:rsid w:val="00697910"/>
    <w:rsid w:val="00697C12"/>
    <w:rsid w:val="00697D4B"/>
    <w:rsid w:val="006A1024"/>
    <w:rsid w:val="006A1966"/>
    <w:rsid w:val="006A28CD"/>
    <w:rsid w:val="006A32BF"/>
    <w:rsid w:val="006A6FB0"/>
    <w:rsid w:val="006A71B0"/>
    <w:rsid w:val="006A7287"/>
    <w:rsid w:val="006B006F"/>
    <w:rsid w:val="006B05C3"/>
    <w:rsid w:val="006B0708"/>
    <w:rsid w:val="006B14D5"/>
    <w:rsid w:val="006B3CFD"/>
    <w:rsid w:val="006B3FF4"/>
    <w:rsid w:val="006B55F2"/>
    <w:rsid w:val="006B5785"/>
    <w:rsid w:val="006B61A2"/>
    <w:rsid w:val="006B62CD"/>
    <w:rsid w:val="006B6A1C"/>
    <w:rsid w:val="006B7787"/>
    <w:rsid w:val="006C1A3A"/>
    <w:rsid w:val="006C2332"/>
    <w:rsid w:val="006C271F"/>
    <w:rsid w:val="006C3257"/>
    <w:rsid w:val="006C44F3"/>
    <w:rsid w:val="006C46EE"/>
    <w:rsid w:val="006C4E99"/>
    <w:rsid w:val="006C576E"/>
    <w:rsid w:val="006D1007"/>
    <w:rsid w:val="006D11CA"/>
    <w:rsid w:val="006D1FA2"/>
    <w:rsid w:val="006D2330"/>
    <w:rsid w:val="006D3157"/>
    <w:rsid w:val="006D4872"/>
    <w:rsid w:val="006D4C07"/>
    <w:rsid w:val="006D5830"/>
    <w:rsid w:val="006D59D3"/>
    <w:rsid w:val="006D6609"/>
    <w:rsid w:val="006D6C07"/>
    <w:rsid w:val="006D7B6C"/>
    <w:rsid w:val="006E01C3"/>
    <w:rsid w:val="006E0EED"/>
    <w:rsid w:val="006E297B"/>
    <w:rsid w:val="006E2A16"/>
    <w:rsid w:val="006E368C"/>
    <w:rsid w:val="006E657E"/>
    <w:rsid w:val="006E6DBB"/>
    <w:rsid w:val="006E7A32"/>
    <w:rsid w:val="006F005A"/>
    <w:rsid w:val="006F06DC"/>
    <w:rsid w:val="006F0E74"/>
    <w:rsid w:val="006F227D"/>
    <w:rsid w:val="006F242D"/>
    <w:rsid w:val="006F3822"/>
    <w:rsid w:val="006F553B"/>
    <w:rsid w:val="006F5A31"/>
    <w:rsid w:val="006F7496"/>
    <w:rsid w:val="007019EF"/>
    <w:rsid w:val="00701AF0"/>
    <w:rsid w:val="00701B7A"/>
    <w:rsid w:val="00701C8B"/>
    <w:rsid w:val="00702FC1"/>
    <w:rsid w:val="00704CFA"/>
    <w:rsid w:val="00705069"/>
    <w:rsid w:val="00706DF0"/>
    <w:rsid w:val="00707C7B"/>
    <w:rsid w:val="007109C4"/>
    <w:rsid w:val="00710AB3"/>
    <w:rsid w:val="007117D8"/>
    <w:rsid w:val="00711C87"/>
    <w:rsid w:val="0071284A"/>
    <w:rsid w:val="00712CA4"/>
    <w:rsid w:val="00713362"/>
    <w:rsid w:val="00713D11"/>
    <w:rsid w:val="00713DE5"/>
    <w:rsid w:val="00714DC0"/>
    <w:rsid w:val="00715632"/>
    <w:rsid w:val="00716459"/>
    <w:rsid w:val="00716469"/>
    <w:rsid w:val="007169E7"/>
    <w:rsid w:val="00716E0D"/>
    <w:rsid w:val="007172E2"/>
    <w:rsid w:val="007175E2"/>
    <w:rsid w:val="00720423"/>
    <w:rsid w:val="007209B4"/>
    <w:rsid w:val="00721530"/>
    <w:rsid w:val="00721619"/>
    <w:rsid w:val="0072178D"/>
    <w:rsid w:val="00721C87"/>
    <w:rsid w:val="007222C5"/>
    <w:rsid w:val="00723BB7"/>
    <w:rsid w:val="00724E90"/>
    <w:rsid w:val="00724FA9"/>
    <w:rsid w:val="00726A98"/>
    <w:rsid w:val="00727F3C"/>
    <w:rsid w:val="00731955"/>
    <w:rsid w:val="00733A33"/>
    <w:rsid w:val="0073455F"/>
    <w:rsid w:val="007367A2"/>
    <w:rsid w:val="00736C27"/>
    <w:rsid w:val="00736C36"/>
    <w:rsid w:val="007376DE"/>
    <w:rsid w:val="007377F2"/>
    <w:rsid w:val="007416DC"/>
    <w:rsid w:val="00743146"/>
    <w:rsid w:val="00743A39"/>
    <w:rsid w:val="00743D4B"/>
    <w:rsid w:val="00746749"/>
    <w:rsid w:val="00746C76"/>
    <w:rsid w:val="00750275"/>
    <w:rsid w:val="007506B5"/>
    <w:rsid w:val="00750964"/>
    <w:rsid w:val="00751C85"/>
    <w:rsid w:val="00753206"/>
    <w:rsid w:val="007534BE"/>
    <w:rsid w:val="00753706"/>
    <w:rsid w:val="00754B96"/>
    <w:rsid w:val="00754BEA"/>
    <w:rsid w:val="00754F6F"/>
    <w:rsid w:val="0075540A"/>
    <w:rsid w:val="00756224"/>
    <w:rsid w:val="00760A1C"/>
    <w:rsid w:val="007614DF"/>
    <w:rsid w:val="00763AFB"/>
    <w:rsid w:val="00764015"/>
    <w:rsid w:val="00765F4F"/>
    <w:rsid w:val="00766523"/>
    <w:rsid w:val="00766845"/>
    <w:rsid w:val="00766916"/>
    <w:rsid w:val="00767226"/>
    <w:rsid w:val="00767556"/>
    <w:rsid w:val="00767B8F"/>
    <w:rsid w:val="00767F40"/>
    <w:rsid w:val="00770791"/>
    <w:rsid w:val="00770B25"/>
    <w:rsid w:val="00770B5A"/>
    <w:rsid w:val="00770E31"/>
    <w:rsid w:val="00770FD8"/>
    <w:rsid w:val="00771145"/>
    <w:rsid w:val="0077134D"/>
    <w:rsid w:val="0077140B"/>
    <w:rsid w:val="00771B92"/>
    <w:rsid w:val="0077328F"/>
    <w:rsid w:val="00773CC4"/>
    <w:rsid w:val="00774232"/>
    <w:rsid w:val="00775165"/>
    <w:rsid w:val="00775B2D"/>
    <w:rsid w:val="00775F9B"/>
    <w:rsid w:val="00776C5F"/>
    <w:rsid w:val="00776E5C"/>
    <w:rsid w:val="007806A9"/>
    <w:rsid w:val="00781905"/>
    <w:rsid w:val="00783B2A"/>
    <w:rsid w:val="00784150"/>
    <w:rsid w:val="00784FF9"/>
    <w:rsid w:val="00785611"/>
    <w:rsid w:val="00785D81"/>
    <w:rsid w:val="0078736C"/>
    <w:rsid w:val="00787AC2"/>
    <w:rsid w:val="00790DE2"/>
    <w:rsid w:val="007933A5"/>
    <w:rsid w:val="0079474A"/>
    <w:rsid w:val="00795E2A"/>
    <w:rsid w:val="007968D7"/>
    <w:rsid w:val="007A048C"/>
    <w:rsid w:val="007A16C2"/>
    <w:rsid w:val="007A1A99"/>
    <w:rsid w:val="007A1E9A"/>
    <w:rsid w:val="007A2843"/>
    <w:rsid w:val="007A3164"/>
    <w:rsid w:val="007A3C52"/>
    <w:rsid w:val="007A54B3"/>
    <w:rsid w:val="007A5762"/>
    <w:rsid w:val="007A5AD2"/>
    <w:rsid w:val="007A6FF5"/>
    <w:rsid w:val="007A79A4"/>
    <w:rsid w:val="007B1F63"/>
    <w:rsid w:val="007B2FD7"/>
    <w:rsid w:val="007B3FD5"/>
    <w:rsid w:val="007B50C2"/>
    <w:rsid w:val="007B700A"/>
    <w:rsid w:val="007C0871"/>
    <w:rsid w:val="007C0F5D"/>
    <w:rsid w:val="007C1FF8"/>
    <w:rsid w:val="007C2643"/>
    <w:rsid w:val="007C3EC9"/>
    <w:rsid w:val="007C4561"/>
    <w:rsid w:val="007C4E1F"/>
    <w:rsid w:val="007C510B"/>
    <w:rsid w:val="007C607E"/>
    <w:rsid w:val="007C6CE9"/>
    <w:rsid w:val="007C76E6"/>
    <w:rsid w:val="007C7E4E"/>
    <w:rsid w:val="007D0A3F"/>
    <w:rsid w:val="007D207D"/>
    <w:rsid w:val="007D26F3"/>
    <w:rsid w:val="007D28F3"/>
    <w:rsid w:val="007D30F6"/>
    <w:rsid w:val="007D4351"/>
    <w:rsid w:val="007D46A3"/>
    <w:rsid w:val="007D4A0E"/>
    <w:rsid w:val="007D62F2"/>
    <w:rsid w:val="007D6485"/>
    <w:rsid w:val="007D687E"/>
    <w:rsid w:val="007D69E8"/>
    <w:rsid w:val="007D6CBB"/>
    <w:rsid w:val="007D731A"/>
    <w:rsid w:val="007D7EE9"/>
    <w:rsid w:val="007E0816"/>
    <w:rsid w:val="007E0E66"/>
    <w:rsid w:val="007E106B"/>
    <w:rsid w:val="007E1E5B"/>
    <w:rsid w:val="007E3234"/>
    <w:rsid w:val="007E373C"/>
    <w:rsid w:val="007E3D2D"/>
    <w:rsid w:val="007E5561"/>
    <w:rsid w:val="007E74C7"/>
    <w:rsid w:val="007E7572"/>
    <w:rsid w:val="007E79D5"/>
    <w:rsid w:val="007E7A16"/>
    <w:rsid w:val="007F14F2"/>
    <w:rsid w:val="007F24A0"/>
    <w:rsid w:val="007F26B7"/>
    <w:rsid w:val="007F347E"/>
    <w:rsid w:val="007F3558"/>
    <w:rsid w:val="007F4D03"/>
    <w:rsid w:val="007F4E56"/>
    <w:rsid w:val="007F532C"/>
    <w:rsid w:val="00800417"/>
    <w:rsid w:val="00800CCB"/>
    <w:rsid w:val="00801413"/>
    <w:rsid w:val="00803490"/>
    <w:rsid w:val="00803928"/>
    <w:rsid w:val="0080421E"/>
    <w:rsid w:val="00804D03"/>
    <w:rsid w:val="00805309"/>
    <w:rsid w:val="00805F34"/>
    <w:rsid w:val="008063AA"/>
    <w:rsid w:val="008104B2"/>
    <w:rsid w:val="00810F0F"/>
    <w:rsid w:val="00811927"/>
    <w:rsid w:val="00811A5F"/>
    <w:rsid w:val="00811CA4"/>
    <w:rsid w:val="00811D36"/>
    <w:rsid w:val="00813817"/>
    <w:rsid w:val="00813F3A"/>
    <w:rsid w:val="00816609"/>
    <w:rsid w:val="00816E3C"/>
    <w:rsid w:val="008177A0"/>
    <w:rsid w:val="00817C75"/>
    <w:rsid w:val="00820695"/>
    <w:rsid w:val="008220E8"/>
    <w:rsid w:val="00822A21"/>
    <w:rsid w:val="00823650"/>
    <w:rsid w:val="00823C64"/>
    <w:rsid w:val="00823E3E"/>
    <w:rsid w:val="00824077"/>
    <w:rsid w:val="008258EB"/>
    <w:rsid w:val="00825F1F"/>
    <w:rsid w:val="00826040"/>
    <w:rsid w:val="00826110"/>
    <w:rsid w:val="00826284"/>
    <w:rsid w:val="00826398"/>
    <w:rsid w:val="0082682D"/>
    <w:rsid w:val="00826DAC"/>
    <w:rsid w:val="00827A77"/>
    <w:rsid w:val="008302F9"/>
    <w:rsid w:val="00830701"/>
    <w:rsid w:val="00831017"/>
    <w:rsid w:val="0083192A"/>
    <w:rsid w:val="00832051"/>
    <w:rsid w:val="008320D5"/>
    <w:rsid w:val="0083243A"/>
    <w:rsid w:val="00832722"/>
    <w:rsid w:val="008331F4"/>
    <w:rsid w:val="0083366B"/>
    <w:rsid w:val="00833F51"/>
    <w:rsid w:val="0083569E"/>
    <w:rsid w:val="00835D30"/>
    <w:rsid w:val="00835EB2"/>
    <w:rsid w:val="008361F0"/>
    <w:rsid w:val="00836E53"/>
    <w:rsid w:val="00837C53"/>
    <w:rsid w:val="00837CF6"/>
    <w:rsid w:val="0084123D"/>
    <w:rsid w:val="00841A21"/>
    <w:rsid w:val="00843F6A"/>
    <w:rsid w:val="008443E3"/>
    <w:rsid w:val="00844945"/>
    <w:rsid w:val="008449A1"/>
    <w:rsid w:val="00844DF0"/>
    <w:rsid w:val="00844EF5"/>
    <w:rsid w:val="008452C2"/>
    <w:rsid w:val="00845371"/>
    <w:rsid w:val="00847911"/>
    <w:rsid w:val="00847A9B"/>
    <w:rsid w:val="00847CB1"/>
    <w:rsid w:val="00847E4F"/>
    <w:rsid w:val="00847EAB"/>
    <w:rsid w:val="0085006C"/>
    <w:rsid w:val="0085075F"/>
    <w:rsid w:val="00850785"/>
    <w:rsid w:val="008515DB"/>
    <w:rsid w:val="00851C6D"/>
    <w:rsid w:val="00852811"/>
    <w:rsid w:val="00853BFE"/>
    <w:rsid w:val="008552A8"/>
    <w:rsid w:val="00856CD6"/>
    <w:rsid w:val="00856D23"/>
    <w:rsid w:val="0085732D"/>
    <w:rsid w:val="00857BA4"/>
    <w:rsid w:val="008600CC"/>
    <w:rsid w:val="008601BB"/>
    <w:rsid w:val="008606FE"/>
    <w:rsid w:val="008614E4"/>
    <w:rsid w:val="00861790"/>
    <w:rsid w:val="008617E5"/>
    <w:rsid w:val="008620AC"/>
    <w:rsid w:val="00862AF0"/>
    <w:rsid w:val="008630B3"/>
    <w:rsid w:val="00863DED"/>
    <w:rsid w:val="008645BB"/>
    <w:rsid w:val="00864E77"/>
    <w:rsid w:val="0086505E"/>
    <w:rsid w:val="008670E1"/>
    <w:rsid w:val="008714CE"/>
    <w:rsid w:val="0087157B"/>
    <w:rsid w:val="0087194F"/>
    <w:rsid w:val="00871958"/>
    <w:rsid w:val="00871E89"/>
    <w:rsid w:val="008729F4"/>
    <w:rsid w:val="008734A6"/>
    <w:rsid w:val="008736A3"/>
    <w:rsid w:val="00874B85"/>
    <w:rsid w:val="00875699"/>
    <w:rsid w:val="00875B01"/>
    <w:rsid w:val="008768F4"/>
    <w:rsid w:val="00876A39"/>
    <w:rsid w:val="00877A77"/>
    <w:rsid w:val="00877B14"/>
    <w:rsid w:val="008801E3"/>
    <w:rsid w:val="008802A4"/>
    <w:rsid w:val="008813BE"/>
    <w:rsid w:val="00881CF3"/>
    <w:rsid w:val="00882DF2"/>
    <w:rsid w:val="00883C95"/>
    <w:rsid w:val="00884156"/>
    <w:rsid w:val="008844A2"/>
    <w:rsid w:val="008849B3"/>
    <w:rsid w:val="00885A3C"/>
    <w:rsid w:val="00887E8B"/>
    <w:rsid w:val="00890718"/>
    <w:rsid w:val="00891B1E"/>
    <w:rsid w:val="00892294"/>
    <w:rsid w:val="008928D2"/>
    <w:rsid w:val="00892B6A"/>
    <w:rsid w:val="00893464"/>
    <w:rsid w:val="008939EB"/>
    <w:rsid w:val="00894711"/>
    <w:rsid w:val="00894976"/>
    <w:rsid w:val="0089657A"/>
    <w:rsid w:val="008969EE"/>
    <w:rsid w:val="008976AA"/>
    <w:rsid w:val="00897A77"/>
    <w:rsid w:val="00897D4E"/>
    <w:rsid w:val="008A0069"/>
    <w:rsid w:val="008A0DFD"/>
    <w:rsid w:val="008A226E"/>
    <w:rsid w:val="008A31EF"/>
    <w:rsid w:val="008A42C5"/>
    <w:rsid w:val="008A5824"/>
    <w:rsid w:val="008A5832"/>
    <w:rsid w:val="008A5848"/>
    <w:rsid w:val="008A5BBD"/>
    <w:rsid w:val="008A5C79"/>
    <w:rsid w:val="008A5C96"/>
    <w:rsid w:val="008A6AFC"/>
    <w:rsid w:val="008A6EAA"/>
    <w:rsid w:val="008B02D9"/>
    <w:rsid w:val="008B065C"/>
    <w:rsid w:val="008B0F29"/>
    <w:rsid w:val="008B28DA"/>
    <w:rsid w:val="008B3115"/>
    <w:rsid w:val="008B3F50"/>
    <w:rsid w:val="008B44D2"/>
    <w:rsid w:val="008B4A8B"/>
    <w:rsid w:val="008B4CBD"/>
    <w:rsid w:val="008B579B"/>
    <w:rsid w:val="008B5DCD"/>
    <w:rsid w:val="008B5FF3"/>
    <w:rsid w:val="008B6A9B"/>
    <w:rsid w:val="008B6E44"/>
    <w:rsid w:val="008B722B"/>
    <w:rsid w:val="008B76AA"/>
    <w:rsid w:val="008B7A6E"/>
    <w:rsid w:val="008C1517"/>
    <w:rsid w:val="008C1BE0"/>
    <w:rsid w:val="008C3197"/>
    <w:rsid w:val="008C33B7"/>
    <w:rsid w:val="008C5EB1"/>
    <w:rsid w:val="008C65D8"/>
    <w:rsid w:val="008C767E"/>
    <w:rsid w:val="008C7CF5"/>
    <w:rsid w:val="008D022B"/>
    <w:rsid w:val="008D05F4"/>
    <w:rsid w:val="008D14AF"/>
    <w:rsid w:val="008D64DA"/>
    <w:rsid w:val="008D76E7"/>
    <w:rsid w:val="008D79CA"/>
    <w:rsid w:val="008E0362"/>
    <w:rsid w:val="008E21CA"/>
    <w:rsid w:val="008E341D"/>
    <w:rsid w:val="008E3B98"/>
    <w:rsid w:val="008E40D7"/>
    <w:rsid w:val="008E48C3"/>
    <w:rsid w:val="008E4936"/>
    <w:rsid w:val="008E5560"/>
    <w:rsid w:val="008E5B7C"/>
    <w:rsid w:val="008E6103"/>
    <w:rsid w:val="008E711D"/>
    <w:rsid w:val="008E7414"/>
    <w:rsid w:val="008F0A67"/>
    <w:rsid w:val="008F0CED"/>
    <w:rsid w:val="008F1844"/>
    <w:rsid w:val="008F1B0F"/>
    <w:rsid w:val="008F1FA6"/>
    <w:rsid w:val="008F2345"/>
    <w:rsid w:val="008F27AB"/>
    <w:rsid w:val="008F29B7"/>
    <w:rsid w:val="008F416E"/>
    <w:rsid w:val="008F48FA"/>
    <w:rsid w:val="008F520B"/>
    <w:rsid w:val="008F5875"/>
    <w:rsid w:val="008F5E22"/>
    <w:rsid w:val="008F6682"/>
    <w:rsid w:val="008F6DF9"/>
    <w:rsid w:val="0090094C"/>
    <w:rsid w:val="00900BA7"/>
    <w:rsid w:val="0090319E"/>
    <w:rsid w:val="009036DD"/>
    <w:rsid w:val="00903754"/>
    <w:rsid w:val="009037F5"/>
    <w:rsid w:val="00903C4D"/>
    <w:rsid w:val="0090401E"/>
    <w:rsid w:val="00904BC4"/>
    <w:rsid w:val="00905297"/>
    <w:rsid w:val="00905F94"/>
    <w:rsid w:val="00910582"/>
    <w:rsid w:val="00910A38"/>
    <w:rsid w:val="009112E4"/>
    <w:rsid w:val="00911EF5"/>
    <w:rsid w:val="009127BF"/>
    <w:rsid w:val="0091309B"/>
    <w:rsid w:val="009136F0"/>
    <w:rsid w:val="00913F5C"/>
    <w:rsid w:val="0091527D"/>
    <w:rsid w:val="00915322"/>
    <w:rsid w:val="00915AF2"/>
    <w:rsid w:val="00916A68"/>
    <w:rsid w:val="009173F4"/>
    <w:rsid w:val="00917E8F"/>
    <w:rsid w:val="00920B61"/>
    <w:rsid w:val="00922AF5"/>
    <w:rsid w:val="00922D3C"/>
    <w:rsid w:val="00923566"/>
    <w:rsid w:val="009235A9"/>
    <w:rsid w:val="00923817"/>
    <w:rsid w:val="00924F37"/>
    <w:rsid w:val="00925573"/>
    <w:rsid w:val="00925A13"/>
    <w:rsid w:val="00925ABA"/>
    <w:rsid w:val="00930667"/>
    <w:rsid w:val="009307A4"/>
    <w:rsid w:val="00930C78"/>
    <w:rsid w:val="00931732"/>
    <w:rsid w:val="00931FB0"/>
    <w:rsid w:val="0093248B"/>
    <w:rsid w:val="00932777"/>
    <w:rsid w:val="009355C6"/>
    <w:rsid w:val="0093691A"/>
    <w:rsid w:val="0093702F"/>
    <w:rsid w:val="0093708B"/>
    <w:rsid w:val="00940787"/>
    <w:rsid w:val="009428CC"/>
    <w:rsid w:val="00942F0E"/>
    <w:rsid w:val="009430C0"/>
    <w:rsid w:val="0094320C"/>
    <w:rsid w:val="00943A9E"/>
    <w:rsid w:val="00943B77"/>
    <w:rsid w:val="009441E2"/>
    <w:rsid w:val="00945CE7"/>
    <w:rsid w:val="0094658F"/>
    <w:rsid w:val="00946619"/>
    <w:rsid w:val="00946C64"/>
    <w:rsid w:val="009472F4"/>
    <w:rsid w:val="00947ADA"/>
    <w:rsid w:val="00947E2F"/>
    <w:rsid w:val="00947EE1"/>
    <w:rsid w:val="009516E2"/>
    <w:rsid w:val="00951D14"/>
    <w:rsid w:val="00952574"/>
    <w:rsid w:val="00952B17"/>
    <w:rsid w:val="009539E7"/>
    <w:rsid w:val="0095557F"/>
    <w:rsid w:val="00955B25"/>
    <w:rsid w:val="00955B28"/>
    <w:rsid w:val="0095627B"/>
    <w:rsid w:val="009570AE"/>
    <w:rsid w:val="00957106"/>
    <w:rsid w:val="00957217"/>
    <w:rsid w:val="00957A03"/>
    <w:rsid w:val="00957E23"/>
    <w:rsid w:val="00962C6F"/>
    <w:rsid w:val="00964B55"/>
    <w:rsid w:val="00965F2E"/>
    <w:rsid w:val="00965F83"/>
    <w:rsid w:val="0096678B"/>
    <w:rsid w:val="00966BA4"/>
    <w:rsid w:val="0096700A"/>
    <w:rsid w:val="0096780F"/>
    <w:rsid w:val="0097091D"/>
    <w:rsid w:val="0097094C"/>
    <w:rsid w:val="00972134"/>
    <w:rsid w:val="009732EC"/>
    <w:rsid w:val="00973519"/>
    <w:rsid w:val="0097505E"/>
    <w:rsid w:val="00975C7A"/>
    <w:rsid w:val="00976036"/>
    <w:rsid w:val="0098055A"/>
    <w:rsid w:val="00980F2F"/>
    <w:rsid w:val="0098104B"/>
    <w:rsid w:val="009816EE"/>
    <w:rsid w:val="0098180D"/>
    <w:rsid w:val="00981BEB"/>
    <w:rsid w:val="00981F15"/>
    <w:rsid w:val="0098240D"/>
    <w:rsid w:val="009836E4"/>
    <w:rsid w:val="00984E07"/>
    <w:rsid w:val="009854CC"/>
    <w:rsid w:val="00985675"/>
    <w:rsid w:val="00986C1B"/>
    <w:rsid w:val="00986E41"/>
    <w:rsid w:val="00987A01"/>
    <w:rsid w:val="009912A2"/>
    <w:rsid w:val="0099160C"/>
    <w:rsid w:val="00992F3C"/>
    <w:rsid w:val="00994AA8"/>
    <w:rsid w:val="00995292"/>
    <w:rsid w:val="009953F3"/>
    <w:rsid w:val="00997ADC"/>
    <w:rsid w:val="00997D52"/>
    <w:rsid w:val="00997F4D"/>
    <w:rsid w:val="009A0FC9"/>
    <w:rsid w:val="009A1DB7"/>
    <w:rsid w:val="009A2327"/>
    <w:rsid w:val="009A3A54"/>
    <w:rsid w:val="009A3FE4"/>
    <w:rsid w:val="009A578E"/>
    <w:rsid w:val="009A6314"/>
    <w:rsid w:val="009A6FE5"/>
    <w:rsid w:val="009B044D"/>
    <w:rsid w:val="009B0A52"/>
    <w:rsid w:val="009B2DCB"/>
    <w:rsid w:val="009B4372"/>
    <w:rsid w:val="009B50C4"/>
    <w:rsid w:val="009B56C5"/>
    <w:rsid w:val="009B56F7"/>
    <w:rsid w:val="009B6B96"/>
    <w:rsid w:val="009B7342"/>
    <w:rsid w:val="009C15FF"/>
    <w:rsid w:val="009C1969"/>
    <w:rsid w:val="009C2753"/>
    <w:rsid w:val="009C27A1"/>
    <w:rsid w:val="009C27BC"/>
    <w:rsid w:val="009C2EE8"/>
    <w:rsid w:val="009C3EAE"/>
    <w:rsid w:val="009C57FA"/>
    <w:rsid w:val="009C6E36"/>
    <w:rsid w:val="009D04F4"/>
    <w:rsid w:val="009D071D"/>
    <w:rsid w:val="009D12B4"/>
    <w:rsid w:val="009D15DD"/>
    <w:rsid w:val="009D22A7"/>
    <w:rsid w:val="009D2483"/>
    <w:rsid w:val="009D4009"/>
    <w:rsid w:val="009D5E93"/>
    <w:rsid w:val="009D7774"/>
    <w:rsid w:val="009E3ED2"/>
    <w:rsid w:val="009E46EF"/>
    <w:rsid w:val="009E50A7"/>
    <w:rsid w:val="009E73BD"/>
    <w:rsid w:val="009F04BF"/>
    <w:rsid w:val="009F3092"/>
    <w:rsid w:val="009F46DA"/>
    <w:rsid w:val="009F49B2"/>
    <w:rsid w:val="009F5251"/>
    <w:rsid w:val="009F60B5"/>
    <w:rsid w:val="009F6461"/>
    <w:rsid w:val="00A00605"/>
    <w:rsid w:val="00A017A3"/>
    <w:rsid w:val="00A0330C"/>
    <w:rsid w:val="00A033F6"/>
    <w:rsid w:val="00A03415"/>
    <w:rsid w:val="00A035A7"/>
    <w:rsid w:val="00A046E6"/>
    <w:rsid w:val="00A05A72"/>
    <w:rsid w:val="00A0609B"/>
    <w:rsid w:val="00A06757"/>
    <w:rsid w:val="00A07E6A"/>
    <w:rsid w:val="00A1109C"/>
    <w:rsid w:val="00A14A25"/>
    <w:rsid w:val="00A166B7"/>
    <w:rsid w:val="00A2047D"/>
    <w:rsid w:val="00A20BE3"/>
    <w:rsid w:val="00A21117"/>
    <w:rsid w:val="00A21B45"/>
    <w:rsid w:val="00A21B6F"/>
    <w:rsid w:val="00A21B94"/>
    <w:rsid w:val="00A225F8"/>
    <w:rsid w:val="00A22DA4"/>
    <w:rsid w:val="00A24069"/>
    <w:rsid w:val="00A244B5"/>
    <w:rsid w:val="00A24C77"/>
    <w:rsid w:val="00A25939"/>
    <w:rsid w:val="00A25BF8"/>
    <w:rsid w:val="00A266AB"/>
    <w:rsid w:val="00A3069B"/>
    <w:rsid w:val="00A30B4A"/>
    <w:rsid w:val="00A30C89"/>
    <w:rsid w:val="00A30E48"/>
    <w:rsid w:val="00A310B2"/>
    <w:rsid w:val="00A31661"/>
    <w:rsid w:val="00A31D1B"/>
    <w:rsid w:val="00A32242"/>
    <w:rsid w:val="00A323AA"/>
    <w:rsid w:val="00A34801"/>
    <w:rsid w:val="00A36FAE"/>
    <w:rsid w:val="00A36FDA"/>
    <w:rsid w:val="00A37412"/>
    <w:rsid w:val="00A37865"/>
    <w:rsid w:val="00A400AA"/>
    <w:rsid w:val="00A41269"/>
    <w:rsid w:val="00A4210B"/>
    <w:rsid w:val="00A4222F"/>
    <w:rsid w:val="00A429BD"/>
    <w:rsid w:val="00A4527D"/>
    <w:rsid w:val="00A500F4"/>
    <w:rsid w:val="00A5071B"/>
    <w:rsid w:val="00A50A3E"/>
    <w:rsid w:val="00A514AE"/>
    <w:rsid w:val="00A52A09"/>
    <w:rsid w:val="00A534AC"/>
    <w:rsid w:val="00A5356C"/>
    <w:rsid w:val="00A53947"/>
    <w:rsid w:val="00A54223"/>
    <w:rsid w:val="00A556A6"/>
    <w:rsid w:val="00A55E0D"/>
    <w:rsid w:val="00A56CC4"/>
    <w:rsid w:val="00A573B7"/>
    <w:rsid w:val="00A60D8C"/>
    <w:rsid w:val="00A6198E"/>
    <w:rsid w:val="00A62015"/>
    <w:rsid w:val="00A62737"/>
    <w:rsid w:val="00A644CE"/>
    <w:rsid w:val="00A648B3"/>
    <w:rsid w:val="00A65624"/>
    <w:rsid w:val="00A65A21"/>
    <w:rsid w:val="00A67BD7"/>
    <w:rsid w:val="00A67CD5"/>
    <w:rsid w:val="00A67DE7"/>
    <w:rsid w:val="00A704A1"/>
    <w:rsid w:val="00A7089D"/>
    <w:rsid w:val="00A70DD6"/>
    <w:rsid w:val="00A71D12"/>
    <w:rsid w:val="00A72875"/>
    <w:rsid w:val="00A75262"/>
    <w:rsid w:val="00A76E4D"/>
    <w:rsid w:val="00A77C41"/>
    <w:rsid w:val="00A77D42"/>
    <w:rsid w:val="00A801C7"/>
    <w:rsid w:val="00A808E6"/>
    <w:rsid w:val="00A80B5C"/>
    <w:rsid w:val="00A8115A"/>
    <w:rsid w:val="00A81610"/>
    <w:rsid w:val="00A81C9E"/>
    <w:rsid w:val="00A8460D"/>
    <w:rsid w:val="00A85011"/>
    <w:rsid w:val="00A85631"/>
    <w:rsid w:val="00A87E15"/>
    <w:rsid w:val="00A87FEB"/>
    <w:rsid w:val="00A91AE5"/>
    <w:rsid w:val="00A91D0B"/>
    <w:rsid w:val="00A935A4"/>
    <w:rsid w:val="00A937D8"/>
    <w:rsid w:val="00A947B8"/>
    <w:rsid w:val="00A9480A"/>
    <w:rsid w:val="00A94D8B"/>
    <w:rsid w:val="00A9650A"/>
    <w:rsid w:val="00A977E6"/>
    <w:rsid w:val="00A97E7A"/>
    <w:rsid w:val="00AA1842"/>
    <w:rsid w:val="00AA1F9F"/>
    <w:rsid w:val="00AA3DCC"/>
    <w:rsid w:val="00AA44A4"/>
    <w:rsid w:val="00AA4B88"/>
    <w:rsid w:val="00AA59FA"/>
    <w:rsid w:val="00AA767B"/>
    <w:rsid w:val="00AA76D8"/>
    <w:rsid w:val="00AB072F"/>
    <w:rsid w:val="00AB2168"/>
    <w:rsid w:val="00AB225B"/>
    <w:rsid w:val="00AB253A"/>
    <w:rsid w:val="00AB27B7"/>
    <w:rsid w:val="00AB4EE7"/>
    <w:rsid w:val="00AB70AC"/>
    <w:rsid w:val="00AC0B18"/>
    <w:rsid w:val="00AC1ED8"/>
    <w:rsid w:val="00AC2D42"/>
    <w:rsid w:val="00AC3B77"/>
    <w:rsid w:val="00AC3C2B"/>
    <w:rsid w:val="00AC4D99"/>
    <w:rsid w:val="00AC5601"/>
    <w:rsid w:val="00AC59F3"/>
    <w:rsid w:val="00AC79C6"/>
    <w:rsid w:val="00AD1173"/>
    <w:rsid w:val="00AD1D68"/>
    <w:rsid w:val="00AD29BD"/>
    <w:rsid w:val="00AD41FB"/>
    <w:rsid w:val="00AD45DE"/>
    <w:rsid w:val="00AD56CA"/>
    <w:rsid w:val="00AD587B"/>
    <w:rsid w:val="00AD6CE7"/>
    <w:rsid w:val="00AD7E81"/>
    <w:rsid w:val="00AD7EBA"/>
    <w:rsid w:val="00AE0267"/>
    <w:rsid w:val="00AE2842"/>
    <w:rsid w:val="00AE3D48"/>
    <w:rsid w:val="00AE47A5"/>
    <w:rsid w:val="00AE4ADB"/>
    <w:rsid w:val="00AE5A2B"/>
    <w:rsid w:val="00AE5DAC"/>
    <w:rsid w:val="00AE5F23"/>
    <w:rsid w:val="00AE6592"/>
    <w:rsid w:val="00AE6B78"/>
    <w:rsid w:val="00AE73ED"/>
    <w:rsid w:val="00AE783E"/>
    <w:rsid w:val="00AF034A"/>
    <w:rsid w:val="00AF121B"/>
    <w:rsid w:val="00AF1747"/>
    <w:rsid w:val="00AF2CC4"/>
    <w:rsid w:val="00AF2DAD"/>
    <w:rsid w:val="00AF5AFA"/>
    <w:rsid w:val="00AF6727"/>
    <w:rsid w:val="00AF73C1"/>
    <w:rsid w:val="00AF7424"/>
    <w:rsid w:val="00B01005"/>
    <w:rsid w:val="00B01A4E"/>
    <w:rsid w:val="00B02357"/>
    <w:rsid w:val="00B02362"/>
    <w:rsid w:val="00B03F15"/>
    <w:rsid w:val="00B04239"/>
    <w:rsid w:val="00B04378"/>
    <w:rsid w:val="00B04914"/>
    <w:rsid w:val="00B054F5"/>
    <w:rsid w:val="00B05665"/>
    <w:rsid w:val="00B05D3B"/>
    <w:rsid w:val="00B06407"/>
    <w:rsid w:val="00B0641A"/>
    <w:rsid w:val="00B075D5"/>
    <w:rsid w:val="00B07BFF"/>
    <w:rsid w:val="00B11168"/>
    <w:rsid w:val="00B1143F"/>
    <w:rsid w:val="00B1176D"/>
    <w:rsid w:val="00B12BA9"/>
    <w:rsid w:val="00B14AA9"/>
    <w:rsid w:val="00B14E6D"/>
    <w:rsid w:val="00B14E7B"/>
    <w:rsid w:val="00B156D9"/>
    <w:rsid w:val="00B156EE"/>
    <w:rsid w:val="00B16937"/>
    <w:rsid w:val="00B17324"/>
    <w:rsid w:val="00B1772E"/>
    <w:rsid w:val="00B179FE"/>
    <w:rsid w:val="00B211A1"/>
    <w:rsid w:val="00B24E8B"/>
    <w:rsid w:val="00B27CB4"/>
    <w:rsid w:val="00B31FAB"/>
    <w:rsid w:val="00B3308E"/>
    <w:rsid w:val="00B34E24"/>
    <w:rsid w:val="00B40B0F"/>
    <w:rsid w:val="00B41B99"/>
    <w:rsid w:val="00B4507D"/>
    <w:rsid w:val="00B45B49"/>
    <w:rsid w:val="00B45C9E"/>
    <w:rsid w:val="00B45CAC"/>
    <w:rsid w:val="00B46017"/>
    <w:rsid w:val="00B4631D"/>
    <w:rsid w:val="00B502CB"/>
    <w:rsid w:val="00B50C76"/>
    <w:rsid w:val="00B51CDD"/>
    <w:rsid w:val="00B5307E"/>
    <w:rsid w:val="00B5394E"/>
    <w:rsid w:val="00B53AFC"/>
    <w:rsid w:val="00B54B25"/>
    <w:rsid w:val="00B554CA"/>
    <w:rsid w:val="00B56468"/>
    <w:rsid w:val="00B57188"/>
    <w:rsid w:val="00B618D6"/>
    <w:rsid w:val="00B61D70"/>
    <w:rsid w:val="00B63359"/>
    <w:rsid w:val="00B640A1"/>
    <w:rsid w:val="00B641B0"/>
    <w:rsid w:val="00B64FD3"/>
    <w:rsid w:val="00B651FF"/>
    <w:rsid w:val="00B66B68"/>
    <w:rsid w:val="00B66F9D"/>
    <w:rsid w:val="00B6707E"/>
    <w:rsid w:val="00B67D75"/>
    <w:rsid w:val="00B719F3"/>
    <w:rsid w:val="00B71C2C"/>
    <w:rsid w:val="00B7487C"/>
    <w:rsid w:val="00B74974"/>
    <w:rsid w:val="00B75C26"/>
    <w:rsid w:val="00B7620F"/>
    <w:rsid w:val="00B764EF"/>
    <w:rsid w:val="00B76780"/>
    <w:rsid w:val="00B81DCD"/>
    <w:rsid w:val="00B82291"/>
    <w:rsid w:val="00B8245D"/>
    <w:rsid w:val="00B825A5"/>
    <w:rsid w:val="00B830E8"/>
    <w:rsid w:val="00B830F4"/>
    <w:rsid w:val="00B831F6"/>
    <w:rsid w:val="00B832D0"/>
    <w:rsid w:val="00B9194F"/>
    <w:rsid w:val="00B91D4F"/>
    <w:rsid w:val="00B920BE"/>
    <w:rsid w:val="00B9292E"/>
    <w:rsid w:val="00B93653"/>
    <w:rsid w:val="00B94840"/>
    <w:rsid w:val="00B949FE"/>
    <w:rsid w:val="00B965B8"/>
    <w:rsid w:val="00B9699D"/>
    <w:rsid w:val="00BA05EF"/>
    <w:rsid w:val="00BA06A4"/>
    <w:rsid w:val="00BA0D54"/>
    <w:rsid w:val="00BA11B4"/>
    <w:rsid w:val="00BA1500"/>
    <w:rsid w:val="00BA1B19"/>
    <w:rsid w:val="00BA3A6E"/>
    <w:rsid w:val="00BA3F62"/>
    <w:rsid w:val="00BA4390"/>
    <w:rsid w:val="00BA4406"/>
    <w:rsid w:val="00BA45C8"/>
    <w:rsid w:val="00BA4CF4"/>
    <w:rsid w:val="00BA580F"/>
    <w:rsid w:val="00BA5D6C"/>
    <w:rsid w:val="00BA67A8"/>
    <w:rsid w:val="00BA70FE"/>
    <w:rsid w:val="00BA7C8F"/>
    <w:rsid w:val="00BB0B48"/>
    <w:rsid w:val="00BB2CD6"/>
    <w:rsid w:val="00BB3286"/>
    <w:rsid w:val="00BB3DAC"/>
    <w:rsid w:val="00BB47F9"/>
    <w:rsid w:val="00BB4B75"/>
    <w:rsid w:val="00BB6C00"/>
    <w:rsid w:val="00BB7471"/>
    <w:rsid w:val="00BB7660"/>
    <w:rsid w:val="00BB7B7F"/>
    <w:rsid w:val="00BC047D"/>
    <w:rsid w:val="00BC08D0"/>
    <w:rsid w:val="00BC1325"/>
    <w:rsid w:val="00BC24D0"/>
    <w:rsid w:val="00BC3080"/>
    <w:rsid w:val="00BC4D86"/>
    <w:rsid w:val="00BC6DC3"/>
    <w:rsid w:val="00BD033B"/>
    <w:rsid w:val="00BD2B48"/>
    <w:rsid w:val="00BD33F6"/>
    <w:rsid w:val="00BD35B0"/>
    <w:rsid w:val="00BD3E0A"/>
    <w:rsid w:val="00BD43DC"/>
    <w:rsid w:val="00BD54A1"/>
    <w:rsid w:val="00BD57B1"/>
    <w:rsid w:val="00BD6C3E"/>
    <w:rsid w:val="00BD7876"/>
    <w:rsid w:val="00BD7FC4"/>
    <w:rsid w:val="00BE1908"/>
    <w:rsid w:val="00BE23B7"/>
    <w:rsid w:val="00BE2B99"/>
    <w:rsid w:val="00BE3823"/>
    <w:rsid w:val="00BE3A13"/>
    <w:rsid w:val="00BE428B"/>
    <w:rsid w:val="00BE45EC"/>
    <w:rsid w:val="00BE48E7"/>
    <w:rsid w:val="00BE4B3C"/>
    <w:rsid w:val="00BE50B4"/>
    <w:rsid w:val="00BE5465"/>
    <w:rsid w:val="00BE5C8D"/>
    <w:rsid w:val="00BE745D"/>
    <w:rsid w:val="00BE76FD"/>
    <w:rsid w:val="00BF01D0"/>
    <w:rsid w:val="00BF10C4"/>
    <w:rsid w:val="00BF1571"/>
    <w:rsid w:val="00BF28FD"/>
    <w:rsid w:val="00BF2D1E"/>
    <w:rsid w:val="00BF3B3D"/>
    <w:rsid w:val="00BF51FF"/>
    <w:rsid w:val="00BF7835"/>
    <w:rsid w:val="00C00BCC"/>
    <w:rsid w:val="00C022F6"/>
    <w:rsid w:val="00C02CC6"/>
    <w:rsid w:val="00C03596"/>
    <w:rsid w:val="00C04B67"/>
    <w:rsid w:val="00C04C6B"/>
    <w:rsid w:val="00C06498"/>
    <w:rsid w:val="00C06ED9"/>
    <w:rsid w:val="00C07189"/>
    <w:rsid w:val="00C071BA"/>
    <w:rsid w:val="00C116A6"/>
    <w:rsid w:val="00C119A5"/>
    <w:rsid w:val="00C12542"/>
    <w:rsid w:val="00C13424"/>
    <w:rsid w:val="00C1471A"/>
    <w:rsid w:val="00C15895"/>
    <w:rsid w:val="00C15ED5"/>
    <w:rsid w:val="00C1688A"/>
    <w:rsid w:val="00C16BB5"/>
    <w:rsid w:val="00C1766A"/>
    <w:rsid w:val="00C1797A"/>
    <w:rsid w:val="00C17E15"/>
    <w:rsid w:val="00C20681"/>
    <w:rsid w:val="00C21499"/>
    <w:rsid w:val="00C2213A"/>
    <w:rsid w:val="00C238F1"/>
    <w:rsid w:val="00C24AD5"/>
    <w:rsid w:val="00C24C1D"/>
    <w:rsid w:val="00C25021"/>
    <w:rsid w:val="00C26E64"/>
    <w:rsid w:val="00C27F99"/>
    <w:rsid w:val="00C3026D"/>
    <w:rsid w:val="00C326B8"/>
    <w:rsid w:val="00C331B6"/>
    <w:rsid w:val="00C333FA"/>
    <w:rsid w:val="00C34AB1"/>
    <w:rsid w:val="00C34B83"/>
    <w:rsid w:val="00C40FF2"/>
    <w:rsid w:val="00C413D7"/>
    <w:rsid w:val="00C4179D"/>
    <w:rsid w:val="00C43087"/>
    <w:rsid w:val="00C4348C"/>
    <w:rsid w:val="00C4358C"/>
    <w:rsid w:val="00C43831"/>
    <w:rsid w:val="00C43E53"/>
    <w:rsid w:val="00C43E9F"/>
    <w:rsid w:val="00C44BE2"/>
    <w:rsid w:val="00C45E85"/>
    <w:rsid w:val="00C46677"/>
    <w:rsid w:val="00C505A6"/>
    <w:rsid w:val="00C50627"/>
    <w:rsid w:val="00C512AC"/>
    <w:rsid w:val="00C51D98"/>
    <w:rsid w:val="00C530EE"/>
    <w:rsid w:val="00C53FA3"/>
    <w:rsid w:val="00C560A7"/>
    <w:rsid w:val="00C56126"/>
    <w:rsid w:val="00C56948"/>
    <w:rsid w:val="00C56F5D"/>
    <w:rsid w:val="00C5771C"/>
    <w:rsid w:val="00C578D9"/>
    <w:rsid w:val="00C60271"/>
    <w:rsid w:val="00C624CD"/>
    <w:rsid w:val="00C62511"/>
    <w:rsid w:val="00C62CE4"/>
    <w:rsid w:val="00C6314F"/>
    <w:rsid w:val="00C63B97"/>
    <w:rsid w:val="00C63D84"/>
    <w:rsid w:val="00C64DDE"/>
    <w:rsid w:val="00C65747"/>
    <w:rsid w:val="00C65C92"/>
    <w:rsid w:val="00C6600D"/>
    <w:rsid w:val="00C665B5"/>
    <w:rsid w:val="00C6669A"/>
    <w:rsid w:val="00C66DAC"/>
    <w:rsid w:val="00C66F7C"/>
    <w:rsid w:val="00C67116"/>
    <w:rsid w:val="00C67E19"/>
    <w:rsid w:val="00C70CE3"/>
    <w:rsid w:val="00C711A7"/>
    <w:rsid w:val="00C7176E"/>
    <w:rsid w:val="00C721AA"/>
    <w:rsid w:val="00C72621"/>
    <w:rsid w:val="00C757C6"/>
    <w:rsid w:val="00C772D1"/>
    <w:rsid w:val="00C7763A"/>
    <w:rsid w:val="00C80EE2"/>
    <w:rsid w:val="00C8337D"/>
    <w:rsid w:val="00C833FC"/>
    <w:rsid w:val="00C83530"/>
    <w:rsid w:val="00C83AA7"/>
    <w:rsid w:val="00C83F79"/>
    <w:rsid w:val="00C84358"/>
    <w:rsid w:val="00C8538D"/>
    <w:rsid w:val="00C854A7"/>
    <w:rsid w:val="00C86BAA"/>
    <w:rsid w:val="00C86BC5"/>
    <w:rsid w:val="00C87C46"/>
    <w:rsid w:val="00C91077"/>
    <w:rsid w:val="00C924FE"/>
    <w:rsid w:val="00C9316D"/>
    <w:rsid w:val="00C934A1"/>
    <w:rsid w:val="00C93B9A"/>
    <w:rsid w:val="00C951C3"/>
    <w:rsid w:val="00C957E5"/>
    <w:rsid w:val="00C95DB6"/>
    <w:rsid w:val="00C96E72"/>
    <w:rsid w:val="00C97790"/>
    <w:rsid w:val="00C977D3"/>
    <w:rsid w:val="00C97DFC"/>
    <w:rsid w:val="00CA0213"/>
    <w:rsid w:val="00CA0503"/>
    <w:rsid w:val="00CA1215"/>
    <w:rsid w:val="00CA18E1"/>
    <w:rsid w:val="00CA2C48"/>
    <w:rsid w:val="00CA4CD7"/>
    <w:rsid w:val="00CA5D1C"/>
    <w:rsid w:val="00CA6A4C"/>
    <w:rsid w:val="00CA706A"/>
    <w:rsid w:val="00CA7D5F"/>
    <w:rsid w:val="00CB0E90"/>
    <w:rsid w:val="00CB1A6F"/>
    <w:rsid w:val="00CB1B27"/>
    <w:rsid w:val="00CB1E75"/>
    <w:rsid w:val="00CB262F"/>
    <w:rsid w:val="00CB289A"/>
    <w:rsid w:val="00CB3E1C"/>
    <w:rsid w:val="00CB4C9D"/>
    <w:rsid w:val="00CB4E36"/>
    <w:rsid w:val="00CB56E2"/>
    <w:rsid w:val="00CB59AF"/>
    <w:rsid w:val="00CB6A43"/>
    <w:rsid w:val="00CB79F9"/>
    <w:rsid w:val="00CC05BC"/>
    <w:rsid w:val="00CC13E8"/>
    <w:rsid w:val="00CC3DA1"/>
    <w:rsid w:val="00CC423A"/>
    <w:rsid w:val="00CC5732"/>
    <w:rsid w:val="00CC580C"/>
    <w:rsid w:val="00CC59E6"/>
    <w:rsid w:val="00CC6087"/>
    <w:rsid w:val="00CC6923"/>
    <w:rsid w:val="00CC70E2"/>
    <w:rsid w:val="00CC7B7B"/>
    <w:rsid w:val="00CD0698"/>
    <w:rsid w:val="00CD0A05"/>
    <w:rsid w:val="00CD1DC3"/>
    <w:rsid w:val="00CD1EA5"/>
    <w:rsid w:val="00CD281E"/>
    <w:rsid w:val="00CD2F8A"/>
    <w:rsid w:val="00CD3336"/>
    <w:rsid w:val="00CD39C4"/>
    <w:rsid w:val="00CD40C6"/>
    <w:rsid w:val="00CD425B"/>
    <w:rsid w:val="00CD5029"/>
    <w:rsid w:val="00CD6729"/>
    <w:rsid w:val="00CD76C4"/>
    <w:rsid w:val="00CE14AE"/>
    <w:rsid w:val="00CE2F0E"/>
    <w:rsid w:val="00CE31A1"/>
    <w:rsid w:val="00CE4037"/>
    <w:rsid w:val="00CE49FA"/>
    <w:rsid w:val="00CE54B5"/>
    <w:rsid w:val="00CE54CF"/>
    <w:rsid w:val="00CE5C98"/>
    <w:rsid w:val="00CE6391"/>
    <w:rsid w:val="00CF146D"/>
    <w:rsid w:val="00CF1F4E"/>
    <w:rsid w:val="00CF348D"/>
    <w:rsid w:val="00CF3AC3"/>
    <w:rsid w:val="00CF3B45"/>
    <w:rsid w:val="00CF3C21"/>
    <w:rsid w:val="00CF47BC"/>
    <w:rsid w:val="00CF48A4"/>
    <w:rsid w:val="00CF50C9"/>
    <w:rsid w:val="00CF7065"/>
    <w:rsid w:val="00CF792E"/>
    <w:rsid w:val="00CF7BB4"/>
    <w:rsid w:val="00D00F74"/>
    <w:rsid w:val="00D02018"/>
    <w:rsid w:val="00D032D8"/>
    <w:rsid w:val="00D03572"/>
    <w:rsid w:val="00D038CB"/>
    <w:rsid w:val="00D03C80"/>
    <w:rsid w:val="00D053FC"/>
    <w:rsid w:val="00D0634C"/>
    <w:rsid w:val="00D0640E"/>
    <w:rsid w:val="00D10975"/>
    <w:rsid w:val="00D10BA6"/>
    <w:rsid w:val="00D1312D"/>
    <w:rsid w:val="00D13973"/>
    <w:rsid w:val="00D14AC6"/>
    <w:rsid w:val="00D16454"/>
    <w:rsid w:val="00D1652F"/>
    <w:rsid w:val="00D1709B"/>
    <w:rsid w:val="00D176CB"/>
    <w:rsid w:val="00D17BBE"/>
    <w:rsid w:val="00D208FE"/>
    <w:rsid w:val="00D212AA"/>
    <w:rsid w:val="00D21416"/>
    <w:rsid w:val="00D21D03"/>
    <w:rsid w:val="00D2217D"/>
    <w:rsid w:val="00D2264B"/>
    <w:rsid w:val="00D2264C"/>
    <w:rsid w:val="00D23851"/>
    <w:rsid w:val="00D2408B"/>
    <w:rsid w:val="00D2445F"/>
    <w:rsid w:val="00D24E54"/>
    <w:rsid w:val="00D25843"/>
    <w:rsid w:val="00D26278"/>
    <w:rsid w:val="00D26898"/>
    <w:rsid w:val="00D27595"/>
    <w:rsid w:val="00D27B7A"/>
    <w:rsid w:val="00D30217"/>
    <w:rsid w:val="00D320A1"/>
    <w:rsid w:val="00D325E2"/>
    <w:rsid w:val="00D34717"/>
    <w:rsid w:val="00D349BB"/>
    <w:rsid w:val="00D358E6"/>
    <w:rsid w:val="00D36572"/>
    <w:rsid w:val="00D366ED"/>
    <w:rsid w:val="00D37D19"/>
    <w:rsid w:val="00D37E39"/>
    <w:rsid w:val="00D400AC"/>
    <w:rsid w:val="00D41B3D"/>
    <w:rsid w:val="00D41D58"/>
    <w:rsid w:val="00D4261B"/>
    <w:rsid w:val="00D43678"/>
    <w:rsid w:val="00D43D9D"/>
    <w:rsid w:val="00D44F0B"/>
    <w:rsid w:val="00D4504E"/>
    <w:rsid w:val="00D45240"/>
    <w:rsid w:val="00D515D7"/>
    <w:rsid w:val="00D5247C"/>
    <w:rsid w:val="00D52B67"/>
    <w:rsid w:val="00D53629"/>
    <w:rsid w:val="00D53648"/>
    <w:rsid w:val="00D53654"/>
    <w:rsid w:val="00D53899"/>
    <w:rsid w:val="00D55E2E"/>
    <w:rsid w:val="00D5764B"/>
    <w:rsid w:val="00D5774C"/>
    <w:rsid w:val="00D57F82"/>
    <w:rsid w:val="00D60319"/>
    <w:rsid w:val="00D6166D"/>
    <w:rsid w:val="00D618CB"/>
    <w:rsid w:val="00D61A5A"/>
    <w:rsid w:val="00D6310A"/>
    <w:rsid w:val="00D63C3C"/>
    <w:rsid w:val="00D64182"/>
    <w:rsid w:val="00D65DFA"/>
    <w:rsid w:val="00D662C2"/>
    <w:rsid w:val="00D66689"/>
    <w:rsid w:val="00D6687F"/>
    <w:rsid w:val="00D66E95"/>
    <w:rsid w:val="00D672E4"/>
    <w:rsid w:val="00D67710"/>
    <w:rsid w:val="00D67C3F"/>
    <w:rsid w:val="00D707F7"/>
    <w:rsid w:val="00D717E3"/>
    <w:rsid w:val="00D71BD5"/>
    <w:rsid w:val="00D71E1F"/>
    <w:rsid w:val="00D72860"/>
    <w:rsid w:val="00D73027"/>
    <w:rsid w:val="00D73B9B"/>
    <w:rsid w:val="00D7490E"/>
    <w:rsid w:val="00D74C08"/>
    <w:rsid w:val="00D75156"/>
    <w:rsid w:val="00D75D45"/>
    <w:rsid w:val="00D7624A"/>
    <w:rsid w:val="00D76632"/>
    <w:rsid w:val="00D80B72"/>
    <w:rsid w:val="00D80FB5"/>
    <w:rsid w:val="00D821FC"/>
    <w:rsid w:val="00D822E6"/>
    <w:rsid w:val="00D832B9"/>
    <w:rsid w:val="00D8444F"/>
    <w:rsid w:val="00D847B2"/>
    <w:rsid w:val="00D84EA4"/>
    <w:rsid w:val="00D857CF"/>
    <w:rsid w:val="00D85D02"/>
    <w:rsid w:val="00D85DEB"/>
    <w:rsid w:val="00D876D9"/>
    <w:rsid w:val="00D87AB2"/>
    <w:rsid w:val="00D9081B"/>
    <w:rsid w:val="00D90C35"/>
    <w:rsid w:val="00D9138D"/>
    <w:rsid w:val="00D913BA"/>
    <w:rsid w:val="00D919AA"/>
    <w:rsid w:val="00D927B7"/>
    <w:rsid w:val="00D92B72"/>
    <w:rsid w:val="00D930E6"/>
    <w:rsid w:val="00D93981"/>
    <w:rsid w:val="00D94489"/>
    <w:rsid w:val="00D94ADE"/>
    <w:rsid w:val="00D95E15"/>
    <w:rsid w:val="00D9600B"/>
    <w:rsid w:val="00D9667D"/>
    <w:rsid w:val="00D96D26"/>
    <w:rsid w:val="00D97025"/>
    <w:rsid w:val="00D97451"/>
    <w:rsid w:val="00DA0271"/>
    <w:rsid w:val="00DA1318"/>
    <w:rsid w:val="00DA1A3B"/>
    <w:rsid w:val="00DA1BDA"/>
    <w:rsid w:val="00DA207B"/>
    <w:rsid w:val="00DA2C3B"/>
    <w:rsid w:val="00DA450B"/>
    <w:rsid w:val="00DA6436"/>
    <w:rsid w:val="00DA6789"/>
    <w:rsid w:val="00DA6BA0"/>
    <w:rsid w:val="00DA6C73"/>
    <w:rsid w:val="00DB0485"/>
    <w:rsid w:val="00DB0ADE"/>
    <w:rsid w:val="00DB0C5B"/>
    <w:rsid w:val="00DB0FCB"/>
    <w:rsid w:val="00DB2EB5"/>
    <w:rsid w:val="00DB37BE"/>
    <w:rsid w:val="00DB39A0"/>
    <w:rsid w:val="00DB4348"/>
    <w:rsid w:val="00DB489F"/>
    <w:rsid w:val="00DB4EB1"/>
    <w:rsid w:val="00DB56C7"/>
    <w:rsid w:val="00DB5B10"/>
    <w:rsid w:val="00DB6D16"/>
    <w:rsid w:val="00DB7C6F"/>
    <w:rsid w:val="00DC02F1"/>
    <w:rsid w:val="00DC03DF"/>
    <w:rsid w:val="00DC178E"/>
    <w:rsid w:val="00DC19BE"/>
    <w:rsid w:val="00DC1B3E"/>
    <w:rsid w:val="00DC2ECD"/>
    <w:rsid w:val="00DC3BC4"/>
    <w:rsid w:val="00DC4368"/>
    <w:rsid w:val="00DC6AE5"/>
    <w:rsid w:val="00DD18BC"/>
    <w:rsid w:val="00DD20F2"/>
    <w:rsid w:val="00DD2130"/>
    <w:rsid w:val="00DD277D"/>
    <w:rsid w:val="00DD4885"/>
    <w:rsid w:val="00DD78F2"/>
    <w:rsid w:val="00DD7E78"/>
    <w:rsid w:val="00DD7E9F"/>
    <w:rsid w:val="00DE00AC"/>
    <w:rsid w:val="00DE0296"/>
    <w:rsid w:val="00DE0898"/>
    <w:rsid w:val="00DE0DE3"/>
    <w:rsid w:val="00DE1162"/>
    <w:rsid w:val="00DE14F2"/>
    <w:rsid w:val="00DE15E5"/>
    <w:rsid w:val="00DE1701"/>
    <w:rsid w:val="00DE2791"/>
    <w:rsid w:val="00DE36D2"/>
    <w:rsid w:val="00DE371A"/>
    <w:rsid w:val="00DE3D84"/>
    <w:rsid w:val="00DE5115"/>
    <w:rsid w:val="00DE5DAD"/>
    <w:rsid w:val="00DE770A"/>
    <w:rsid w:val="00DE7E56"/>
    <w:rsid w:val="00DF085E"/>
    <w:rsid w:val="00DF0DD6"/>
    <w:rsid w:val="00DF12D6"/>
    <w:rsid w:val="00DF49D9"/>
    <w:rsid w:val="00DF6230"/>
    <w:rsid w:val="00DF6B70"/>
    <w:rsid w:val="00DF78FE"/>
    <w:rsid w:val="00DF7F26"/>
    <w:rsid w:val="00E0151F"/>
    <w:rsid w:val="00E01ABD"/>
    <w:rsid w:val="00E028A9"/>
    <w:rsid w:val="00E03C0B"/>
    <w:rsid w:val="00E05128"/>
    <w:rsid w:val="00E05150"/>
    <w:rsid w:val="00E0539C"/>
    <w:rsid w:val="00E05B94"/>
    <w:rsid w:val="00E065C7"/>
    <w:rsid w:val="00E06967"/>
    <w:rsid w:val="00E06B83"/>
    <w:rsid w:val="00E076C7"/>
    <w:rsid w:val="00E07BA6"/>
    <w:rsid w:val="00E10294"/>
    <w:rsid w:val="00E12B02"/>
    <w:rsid w:val="00E13BB7"/>
    <w:rsid w:val="00E13D5B"/>
    <w:rsid w:val="00E147F5"/>
    <w:rsid w:val="00E17993"/>
    <w:rsid w:val="00E20FD4"/>
    <w:rsid w:val="00E21426"/>
    <w:rsid w:val="00E2210C"/>
    <w:rsid w:val="00E2274A"/>
    <w:rsid w:val="00E2278D"/>
    <w:rsid w:val="00E22B45"/>
    <w:rsid w:val="00E234FF"/>
    <w:rsid w:val="00E2364A"/>
    <w:rsid w:val="00E23AA7"/>
    <w:rsid w:val="00E248AF"/>
    <w:rsid w:val="00E24E5F"/>
    <w:rsid w:val="00E25A43"/>
    <w:rsid w:val="00E269A3"/>
    <w:rsid w:val="00E27283"/>
    <w:rsid w:val="00E27A17"/>
    <w:rsid w:val="00E3095D"/>
    <w:rsid w:val="00E313C7"/>
    <w:rsid w:val="00E31696"/>
    <w:rsid w:val="00E3214D"/>
    <w:rsid w:val="00E32FAC"/>
    <w:rsid w:val="00E330FF"/>
    <w:rsid w:val="00E33E21"/>
    <w:rsid w:val="00E3528D"/>
    <w:rsid w:val="00E36DDC"/>
    <w:rsid w:val="00E402A0"/>
    <w:rsid w:val="00E40414"/>
    <w:rsid w:val="00E40B9C"/>
    <w:rsid w:val="00E410CC"/>
    <w:rsid w:val="00E41B79"/>
    <w:rsid w:val="00E4212D"/>
    <w:rsid w:val="00E4279B"/>
    <w:rsid w:val="00E437BF"/>
    <w:rsid w:val="00E44601"/>
    <w:rsid w:val="00E44C60"/>
    <w:rsid w:val="00E4566D"/>
    <w:rsid w:val="00E4577F"/>
    <w:rsid w:val="00E45811"/>
    <w:rsid w:val="00E45DA5"/>
    <w:rsid w:val="00E4635D"/>
    <w:rsid w:val="00E46B5D"/>
    <w:rsid w:val="00E470E8"/>
    <w:rsid w:val="00E500DD"/>
    <w:rsid w:val="00E526E6"/>
    <w:rsid w:val="00E52739"/>
    <w:rsid w:val="00E534F0"/>
    <w:rsid w:val="00E539FC"/>
    <w:rsid w:val="00E53EAD"/>
    <w:rsid w:val="00E54757"/>
    <w:rsid w:val="00E567D2"/>
    <w:rsid w:val="00E57A8C"/>
    <w:rsid w:val="00E614DC"/>
    <w:rsid w:val="00E61CCB"/>
    <w:rsid w:val="00E6268B"/>
    <w:rsid w:val="00E62956"/>
    <w:rsid w:val="00E64DF3"/>
    <w:rsid w:val="00E64FAE"/>
    <w:rsid w:val="00E70C79"/>
    <w:rsid w:val="00E70D6C"/>
    <w:rsid w:val="00E71EE6"/>
    <w:rsid w:val="00E7225E"/>
    <w:rsid w:val="00E725AC"/>
    <w:rsid w:val="00E7283C"/>
    <w:rsid w:val="00E728B4"/>
    <w:rsid w:val="00E746D9"/>
    <w:rsid w:val="00E75369"/>
    <w:rsid w:val="00E7574D"/>
    <w:rsid w:val="00E765BD"/>
    <w:rsid w:val="00E770E6"/>
    <w:rsid w:val="00E77238"/>
    <w:rsid w:val="00E77A71"/>
    <w:rsid w:val="00E80CFB"/>
    <w:rsid w:val="00E81240"/>
    <w:rsid w:val="00E8147C"/>
    <w:rsid w:val="00E81CBA"/>
    <w:rsid w:val="00E81D18"/>
    <w:rsid w:val="00E82B4D"/>
    <w:rsid w:val="00E82B8E"/>
    <w:rsid w:val="00E82E28"/>
    <w:rsid w:val="00E83803"/>
    <w:rsid w:val="00E84000"/>
    <w:rsid w:val="00E85081"/>
    <w:rsid w:val="00E86222"/>
    <w:rsid w:val="00E864C4"/>
    <w:rsid w:val="00E8793F"/>
    <w:rsid w:val="00E87C9F"/>
    <w:rsid w:val="00E90494"/>
    <w:rsid w:val="00E908E1"/>
    <w:rsid w:val="00E9116F"/>
    <w:rsid w:val="00E91817"/>
    <w:rsid w:val="00E9297A"/>
    <w:rsid w:val="00E932CA"/>
    <w:rsid w:val="00E938FD"/>
    <w:rsid w:val="00E9597D"/>
    <w:rsid w:val="00E95E0E"/>
    <w:rsid w:val="00E95FE9"/>
    <w:rsid w:val="00E96AF4"/>
    <w:rsid w:val="00E97250"/>
    <w:rsid w:val="00E97D38"/>
    <w:rsid w:val="00EA24B3"/>
    <w:rsid w:val="00EA2BB1"/>
    <w:rsid w:val="00EA30AB"/>
    <w:rsid w:val="00EA3141"/>
    <w:rsid w:val="00EA3CE6"/>
    <w:rsid w:val="00EA6452"/>
    <w:rsid w:val="00EA64E3"/>
    <w:rsid w:val="00EA6C4A"/>
    <w:rsid w:val="00EA702D"/>
    <w:rsid w:val="00EA74C6"/>
    <w:rsid w:val="00EB1018"/>
    <w:rsid w:val="00EB2CC8"/>
    <w:rsid w:val="00EB2F4F"/>
    <w:rsid w:val="00EB3336"/>
    <w:rsid w:val="00EB3382"/>
    <w:rsid w:val="00EB4243"/>
    <w:rsid w:val="00EB5340"/>
    <w:rsid w:val="00EB5C4E"/>
    <w:rsid w:val="00EB5D72"/>
    <w:rsid w:val="00EB65FA"/>
    <w:rsid w:val="00EC0337"/>
    <w:rsid w:val="00EC0E5D"/>
    <w:rsid w:val="00EC0E6F"/>
    <w:rsid w:val="00EC1FA3"/>
    <w:rsid w:val="00EC2118"/>
    <w:rsid w:val="00EC230B"/>
    <w:rsid w:val="00EC251A"/>
    <w:rsid w:val="00EC2C03"/>
    <w:rsid w:val="00EC4E36"/>
    <w:rsid w:val="00EC637C"/>
    <w:rsid w:val="00EC6928"/>
    <w:rsid w:val="00EC7795"/>
    <w:rsid w:val="00EC7B72"/>
    <w:rsid w:val="00EC7E7A"/>
    <w:rsid w:val="00ED0649"/>
    <w:rsid w:val="00ED0E14"/>
    <w:rsid w:val="00ED1FE3"/>
    <w:rsid w:val="00ED2988"/>
    <w:rsid w:val="00ED2D26"/>
    <w:rsid w:val="00ED34FE"/>
    <w:rsid w:val="00ED3543"/>
    <w:rsid w:val="00ED47F6"/>
    <w:rsid w:val="00ED4E90"/>
    <w:rsid w:val="00ED5EB8"/>
    <w:rsid w:val="00ED63A4"/>
    <w:rsid w:val="00EE0C1F"/>
    <w:rsid w:val="00EE2321"/>
    <w:rsid w:val="00EE33DA"/>
    <w:rsid w:val="00EE33DD"/>
    <w:rsid w:val="00EE3A5A"/>
    <w:rsid w:val="00EE4666"/>
    <w:rsid w:val="00EE4AB1"/>
    <w:rsid w:val="00EE4BB1"/>
    <w:rsid w:val="00EE565D"/>
    <w:rsid w:val="00EE57CF"/>
    <w:rsid w:val="00EE5916"/>
    <w:rsid w:val="00EE683E"/>
    <w:rsid w:val="00EF12EE"/>
    <w:rsid w:val="00EF1D26"/>
    <w:rsid w:val="00EF3859"/>
    <w:rsid w:val="00EF442C"/>
    <w:rsid w:val="00EF53B5"/>
    <w:rsid w:val="00EF560E"/>
    <w:rsid w:val="00EF5C06"/>
    <w:rsid w:val="00EF6C58"/>
    <w:rsid w:val="00EF721A"/>
    <w:rsid w:val="00EF77C5"/>
    <w:rsid w:val="00F01015"/>
    <w:rsid w:val="00F01226"/>
    <w:rsid w:val="00F01F3D"/>
    <w:rsid w:val="00F02068"/>
    <w:rsid w:val="00F0257A"/>
    <w:rsid w:val="00F02680"/>
    <w:rsid w:val="00F04D0A"/>
    <w:rsid w:val="00F04ED2"/>
    <w:rsid w:val="00F054E2"/>
    <w:rsid w:val="00F054F9"/>
    <w:rsid w:val="00F058F5"/>
    <w:rsid w:val="00F05FE9"/>
    <w:rsid w:val="00F0609D"/>
    <w:rsid w:val="00F06C29"/>
    <w:rsid w:val="00F10F72"/>
    <w:rsid w:val="00F12EF0"/>
    <w:rsid w:val="00F1337A"/>
    <w:rsid w:val="00F13D21"/>
    <w:rsid w:val="00F13D71"/>
    <w:rsid w:val="00F1401F"/>
    <w:rsid w:val="00F149F5"/>
    <w:rsid w:val="00F15C65"/>
    <w:rsid w:val="00F15F81"/>
    <w:rsid w:val="00F16817"/>
    <w:rsid w:val="00F1695B"/>
    <w:rsid w:val="00F17CF1"/>
    <w:rsid w:val="00F20138"/>
    <w:rsid w:val="00F204F6"/>
    <w:rsid w:val="00F20C25"/>
    <w:rsid w:val="00F217CB"/>
    <w:rsid w:val="00F219CC"/>
    <w:rsid w:val="00F21ABF"/>
    <w:rsid w:val="00F21C41"/>
    <w:rsid w:val="00F22890"/>
    <w:rsid w:val="00F22D98"/>
    <w:rsid w:val="00F2389F"/>
    <w:rsid w:val="00F23DC7"/>
    <w:rsid w:val="00F2475E"/>
    <w:rsid w:val="00F24BB0"/>
    <w:rsid w:val="00F265A5"/>
    <w:rsid w:val="00F2757F"/>
    <w:rsid w:val="00F27A31"/>
    <w:rsid w:val="00F309B2"/>
    <w:rsid w:val="00F311DE"/>
    <w:rsid w:val="00F324D8"/>
    <w:rsid w:val="00F32675"/>
    <w:rsid w:val="00F3280A"/>
    <w:rsid w:val="00F32A56"/>
    <w:rsid w:val="00F32FCC"/>
    <w:rsid w:val="00F33186"/>
    <w:rsid w:val="00F33A4D"/>
    <w:rsid w:val="00F35D3D"/>
    <w:rsid w:val="00F36590"/>
    <w:rsid w:val="00F373EB"/>
    <w:rsid w:val="00F41070"/>
    <w:rsid w:val="00F436C2"/>
    <w:rsid w:val="00F44106"/>
    <w:rsid w:val="00F4419B"/>
    <w:rsid w:val="00F44A32"/>
    <w:rsid w:val="00F44A4D"/>
    <w:rsid w:val="00F44CDA"/>
    <w:rsid w:val="00F44D21"/>
    <w:rsid w:val="00F45DE3"/>
    <w:rsid w:val="00F46CCE"/>
    <w:rsid w:val="00F47BB1"/>
    <w:rsid w:val="00F5051E"/>
    <w:rsid w:val="00F50A05"/>
    <w:rsid w:val="00F50EB1"/>
    <w:rsid w:val="00F531F3"/>
    <w:rsid w:val="00F54068"/>
    <w:rsid w:val="00F540BD"/>
    <w:rsid w:val="00F54B9D"/>
    <w:rsid w:val="00F54E81"/>
    <w:rsid w:val="00F552D2"/>
    <w:rsid w:val="00F55919"/>
    <w:rsid w:val="00F57D7B"/>
    <w:rsid w:val="00F60825"/>
    <w:rsid w:val="00F60931"/>
    <w:rsid w:val="00F60A40"/>
    <w:rsid w:val="00F60E4D"/>
    <w:rsid w:val="00F611F2"/>
    <w:rsid w:val="00F626AA"/>
    <w:rsid w:val="00F63503"/>
    <w:rsid w:val="00F6367E"/>
    <w:rsid w:val="00F63B43"/>
    <w:rsid w:val="00F647FD"/>
    <w:rsid w:val="00F64B28"/>
    <w:rsid w:val="00F64BB6"/>
    <w:rsid w:val="00F6741D"/>
    <w:rsid w:val="00F730C7"/>
    <w:rsid w:val="00F730DA"/>
    <w:rsid w:val="00F733CF"/>
    <w:rsid w:val="00F73C92"/>
    <w:rsid w:val="00F742C3"/>
    <w:rsid w:val="00F75364"/>
    <w:rsid w:val="00F760EB"/>
    <w:rsid w:val="00F7756B"/>
    <w:rsid w:val="00F77C91"/>
    <w:rsid w:val="00F805BE"/>
    <w:rsid w:val="00F820F4"/>
    <w:rsid w:val="00F83032"/>
    <w:rsid w:val="00F831AB"/>
    <w:rsid w:val="00F831EF"/>
    <w:rsid w:val="00F83739"/>
    <w:rsid w:val="00F83B8C"/>
    <w:rsid w:val="00F840DA"/>
    <w:rsid w:val="00F8505F"/>
    <w:rsid w:val="00F870BB"/>
    <w:rsid w:val="00F87F22"/>
    <w:rsid w:val="00F90AFC"/>
    <w:rsid w:val="00F90ED6"/>
    <w:rsid w:val="00F9169B"/>
    <w:rsid w:val="00F91BA3"/>
    <w:rsid w:val="00F94DF1"/>
    <w:rsid w:val="00F94FC8"/>
    <w:rsid w:val="00FA058E"/>
    <w:rsid w:val="00FA08A6"/>
    <w:rsid w:val="00FA2841"/>
    <w:rsid w:val="00FA31ED"/>
    <w:rsid w:val="00FA3F0B"/>
    <w:rsid w:val="00FA45CC"/>
    <w:rsid w:val="00FA5FCD"/>
    <w:rsid w:val="00FA6BD2"/>
    <w:rsid w:val="00FA6CD6"/>
    <w:rsid w:val="00FA719E"/>
    <w:rsid w:val="00FA7A09"/>
    <w:rsid w:val="00FB0CEB"/>
    <w:rsid w:val="00FB3032"/>
    <w:rsid w:val="00FB330F"/>
    <w:rsid w:val="00FB498C"/>
    <w:rsid w:val="00FB4CD5"/>
    <w:rsid w:val="00FB56A2"/>
    <w:rsid w:val="00FB7914"/>
    <w:rsid w:val="00FC127C"/>
    <w:rsid w:val="00FC21F4"/>
    <w:rsid w:val="00FC28D6"/>
    <w:rsid w:val="00FC2939"/>
    <w:rsid w:val="00FC3C5A"/>
    <w:rsid w:val="00FC49BB"/>
    <w:rsid w:val="00FC5E6F"/>
    <w:rsid w:val="00FC6982"/>
    <w:rsid w:val="00FC7391"/>
    <w:rsid w:val="00FC7C8F"/>
    <w:rsid w:val="00FD03BB"/>
    <w:rsid w:val="00FD1276"/>
    <w:rsid w:val="00FD1BB1"/>
    <w:rsid w:val="00FD1E05"/>
    <w:rsid w:val="00FD3E0E"/>
    <w:rsid w:val="00FD4C01"/>
    <w:rsid w:val="00FD51B6"/>
    <w:rsid w:val="00FD555C"/>
    <w:rsid w:val="00FD5785"/>
    <w:rsid w:val="00FD6373"/>
    <w:rsid w:val="00FE009A"/>
    <w:rsid w:val="00FE0373"/>
    <w:rsid w:val="00FE0613"/>
    <w:rsid w:val="00FE0D23"/>
    <w:rsid w:val="00FE0EDD"/>
    <w:rsid w:val="00FE2583"/>
    <w:rsid w:val="00FE32A0"/>
    <w:rsid w:val="00FE3D23"/>
    <w:rsid w:val="00FE420F"/>
    <w:rsid w:val="00FE540F"/>
    <w:rsid w:val="00FE62B9"/>
    <w:rsid w:val="00FE7F5E"/>
    <w:rsid w:val="00FF04AE"/>
    <w:rsid w:val="00FF0FF7"/>
    <w:rsid w:val="00FF10DF"/>
    <w:rsid w:val="00FF1775"/>
    <w:rsid w:val="00FF2AAC"/>
    <w:rsid w:val="00FF2CB7"/>
    <w:rsid w:val="00FF3015"/>
    <w:rsid w:val="00FF3109"/>
    <w:rsid w:val="00FF361D"/>
    <w:rsid w:val="00FF374B"/>
    <w:rsid w:val="00FF726A"/>
    <w:rsid w:val="00FF72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E9631"/>
  <w15:chartTrackingRefBased/>
  <w15:docId w15:val="{271BCCDC-7375-4E0D-B6EA-A694CF94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015"/>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rsid w:val="00E234FF"/>
    <w:pPr>
      <w:spacing w:before="120" w:after="0"/>
      <w:outlineLvl w:val="3"/>
    </w:pPr>
    <w:rPr>
      <w:rFonts w:eastAsiaTheme="minorEastAsia" w:cstheme="minorBidi"/>
      <w:i w:val="0"/>
      <w:sz w:val="28"/>
      <w:lang w:eastAsia="ja-JP"/>
    </w:rPr>
  </w:style>
  <w:style w:type="paragraph" w:styleId="Heading5">
    <w:name w:val="heading 5"/>
    <w:basedOn w:val="Normal"/>
    <w:next w:val="Normal"/>
    <w:link w:val="Heading5Char"/>
    <w:uiPriority w:val="6"/>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E234FF"/>
    <w:rPr>
      <w:rFonts w:eastAsiaTheme="minorEastAsia" w:cstheme="minorBidi"/>
      <w:b/>
      <w:sz w:val="28"/>
      <w:szCs w:val="22"/>
      <w:lang w:eastAsia="ja-JP"/>
    </w:rPr>
  </w:style>
  <w:style w:type="character" w:customStyle="1" w:styleId="Heading5Char">
    <w:name w:val="Heading 5 Char"/>
    <w:basedOn w:val="DefaultParagraphFont"/>
    <w:link w:val="Heading5"/>
    <w:uiPriority w:val="6"/>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rsid w:val="0056773D"/>
    <w:pPr>
      <w:tabs>
        <w:tab w:val="right" w:pos="9026"/>
      </w:tabs>
      <w:jc w:val="center"/>
    </w:pPr>
    <w:rPr>
      <w:rFonts w:ascii="Calibri" w:eastAsiaTheme="minorHAnsi" w:hAnsi="Calibri"/>
    </w:rPr>
  </w:style>
  <w:style w:type="character" w:customStyle="1" w:styleId="FooterChar">
    <w:name w:val="Footer Char"/>
    <w:basedOn w:val="DefaultParagraphFont"/>
    <w:link w:val="Footer"/>
    <w:uiPriority w:val="99"/>
    <w:rsid w:val="0056773D"/>
    <w:rPr>
      <w:rFonts w:ascii="Calibri" w:eastAsiaTheme="minorHAns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40"/>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26"/>
    <w:unhideWhenUsed/>
    <w:rsid w:val="0056773D"/>
    <w:pPr>
      <w:tabs>
        <w:tab w:val="right" w:pos="9026"/>
      </w:tabs>
      <w:jc w:val="center"/>
    </w:pPr>
    <w:rPr>
      <w:rFonts w:ascii="Calibri" w:eastAsiaTheme="minorHAnsi" w:hAnsi="Calibri"/>
    </w:rPr>
  </w:style>
  <w:style w:type="character" w:customStyle="1" w:styleId="HeaderChar">
    <w:name w:val="Header Char"/>
    <w:basedOn w:val="DefaultParagraphFont"/>
    <w:link w:val="Header"/>
    <w:uiPriority w:val="26"/>
    <w:rsid w:val="0056773D"/>
    <w:rPr>
      <w:rFonts w:ascii="Calibri" w:eastAsiaTheme="minorHAns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ind w:left="964"/>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uiPriority w:val="17"/>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rsid w:val="00BC6DC3"/>
    <w:rPr>
      <w:sz w:val="28"/>
      <w:szCs w:val="28"/>
    </w:rPr>
  </w:style>
  <w:style w:type="character" w:customStyle="1" w:styleId="DateChar">
    <w:name w:val="Date Char"/>
    <w:basedOn w:val="DefaultParagraphFont"/>
    <w:link w:val="Date"/>
    <w:uiPriority w:val="99"/>
    <w:rsid w:val="00BC6DC3"/>
    <w:rPr>
      <w:rFonts w:eastAsiaTheme="minorHAnsi" w:cstheme="minorBid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style>
  <w:style w:type="paragraph" w:styleId="Revision">
    <w:name w:val="Revision"/>
    <w:hidden/>
    <w:uiPriority w:val="99"/>
    <w:semiHidden/>
    <w:rPr>
      <w:sz w:val="22"/>
      <w:szCs w:val="22"/>
      <w:lang w:eastAsia="en-US"/>
    </w:rPr>
  </w:style>
  <w:style w:type="table" w:styleId="TableGrid">
    <w:name w:val="Table Grid"/>
    <w:basedOn w:val="TableNormal"/>
    <w:uiPriority w:val="3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295785"/>
    <w:rPr>
      <w:rFonts w:eastAsia="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295785"/>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295785"/>
    <w:pPr>
      <w:spacing w:after="200" w:line="280" w:lineRule="atLeast"/>
    </w:pPr>
    <w:rPr>
      <w:rFonts w:eastAsia="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295785"/>
    <w:rPr>
      <w:color w:val="808080"/>
    </w:rPr>
  </w:style>
  <w:style w:type="paragraph" w:customStyle="1" w:styleId="Author">
    <w:name w:val="Author"/>
    <w:basedOn w:val="Normal"/>
    <w:next w:val="Normal"/>
    <w:uiPriority w:val="24"/>
    <w:qFormat/>
    <w:rsid w:val="00295785"/>
    <w:pPr>
      <w:spacing w:after="60"/>
    </w:pPr>
    <w:rPr>
      <w:b/>
      <w:sz w:val="28"/>
      <w:szCs w:val="28"/>
    </w:rPr>
  </w:style>
  <w:style w:type="paragraph" w:customStyle="1" w:styleId="AuthorOrganisationAffiliation">
    <w:name w:val="Author Organisation/Affiliation"/>
    <w:basedOn w:val="Normal"/>
    <w:next w:val="Normal"/>
    <w:uiPriority w:val="25"/>
    <w:qFormat/>
    <w:rsid w:val="00295785"/>
    <w:pPr>
      <w:spacing w:after="720"/>
    </w:pPr>
  </w:style>
  <w:style w:type="paragraph" w:customStyle="1" w:styleId="Glossary">
    <w:name w:val="Glossary"/>
    <w:basedOn w:val="Normal"/>
    <w:link w:val="GlossaryChar"/>
    <w:uiPriority w:val="28"/>
    <w:semiHidden/>
    <w:locked/>
    <w:rsid w:val="00295785"/>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295785"/>
    <w:rPr>
      <w:rFonts w:cstheme="minorBidi"/>
      <w:color w:val="000000"/>
      <w:sz w:val="22"/>
      <w:szCs w:val="22"/>
      <w:lang w:eastAsia="en-US"/>
    </w:rPr>
  </w:style>
  <w:style w:type="paragraph" w:styleId="TOAHeading">
    <w:name w:val="toa heading"/>
    <w:basedOn w:val="Heading1"/>
    <w:next w:val="Normal"/>
    <w:uiPriority w:val="99"/>
    <w:semiHidden/>
    <w:unhideWhenUsed/>
    <w:rsid w:val="00295785"/>
    <w:pPr>
      <w:keepNext w:val="0"/>
      <w:keepLines w:val="0"/>
      <w:widowControl w:val="0"/>
      <w:spacing w:before="120" w:after="0"/>
      <w:contextualSpacing/>
    </w:pPr>
    <w:rPr>
      <w:rFonts w:eastAsiaTheme="minorHAnsi"/>
      <w:bCs w:val="0"/>
      <w:spacing w:val="5"/>
      <w:kern w:val="28"/>
      <w:sz w:val="24"/>
      <w:lang w:eastAsia="en-US"/>
    </w:rPr>
  </w:style>
  <w:style w:type="paragraph" w:styleId="NormalWeb">
    <w:name w:val="Normal (Web)"/>
    <w:basedOn w:val="Normal"/>
    <w:uiPriority w:val="99"/>
    <w:semiHidden/>
    <w:unhideWhenUsed/>
    <w:rsid w:val="00295785"/>
    <w:pPr>
      <w:spacing w:after="168" w:line="168" w:lineRule="atLeast"/>
      <w:jc w:val="both"/>
    </w:pPr>
    <w:rPr>
      <w:rFonts w:ascii="Times New Roman" w:hAnsi="Times New Roman"/>
      <w:sz w:val="13"/>
      <w:szCs w:val="13"/>
      <w:lang w:eastAsia="en-AU"/>
    </w:rPr>
  </w:style>
  <w:style w:type="paragraph" w:customStyle="1" w:styleId="TableBullet1">
    <w:name w:val="Table Bullet 1"/>
    <w:basedOn w:val="TableText"/>
    <w:uiPriority w:val="15"/>
    <w:qFormat/>
    <w:rsid w:val="00295785"/>
    <w:pPr>
      <w:ind w:left="284" w:hanging="284"/>
    </w:pPr>
  </w:style>
  <w:style w:type="paragraph" w:styleId="DocumentMap">
    <w:name w:val="Document Map"/>
    <w:basedOn w:val="Normal"/>
    <w:link w:val="DocumentMapChar"/>
    <w:uiPriority w:val="99"/>
    <w:semiHidden/>
    <w:unhideWhenUsed/>
    <w:rsid w:val="0029578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95785"/>
    <w:rPr>
      <w:rFonts w:ascii="Tahoma" w:eastAsiaTheme="minorHAnsi" w:hAnsi="Tahoma" w:cs="Tahoma"/>
      <w:sz w:val="16"/>
      <w:szCs w:val="16"/>
      <w:lang w:eastAsia="en-US"/>
    </w:rPr>
  </w:style>
  <w:style w:type="paragraph" w:styleId="FootnoteText">
    <w:name w:val="footnote text"/>
    <w:basedOn w:val="Normal"/>
    <w:link w:val="FootnoteTextChar"/>
    <w:uiPriority w:val="99"/>
    <w:unhideWhenUsed/>
    <w:rsid w:val="00295785"/>
    <w:pPr>
      <w:spacing w:after="60" w:line="264" w:lineRule="auto"/>
    </w:pPr>
    <w:rPr>
      <w:sz w:val="20"/>
      <w:szCs w:val="20"/>
    </w:rPr>
  </w:style>
  <w:style w:type="character" w:customStyle="1" w:styleId="FootnoteTextChar">
    <w:name w:val="Footnote Text Char"/>
    <w:basedOn w:val="DefaultParagraphFont"/>
    <w:link w:val="FootnoteText"/>
    <w:uiPriority w:val="99"/>
    <w:rsid w:val="00295785"/>
    <w:rPr>
      <w:rFonts w:eastAsiaTheme="minorHAnsi" w:cstheme="minorBidi"/>
      <w:lang w:eastAsia="en-US"/>
    </w:rPr>
  </w:style>
  <w:style w:type="character" w:styleId="FootnoteReference">
    <w:name w:val="footnote reference"/>
    <w:basedOn w:val="DefaultParagraphFont"/>
    <w:uiPriority w:val="99"/>
    <w:semiHidden/>
    <w:unhideWhenUsed/>
    <w:rsid w:val="00295785"/>
    <w:rPr>
      <w:vertAlign w:val="superscript"/>
    </w:rPr>
  </w:style>
  <w:style w:type="paragraph" w:styleId="EndnoteText">
    <w:name w:val="endnote text"/>
    <w:basedOn w:val="Normal"/>
    <w:link w:val="EndnoteTextChar"/>
    <w:uiPriority w:val="99"/>
    <w:unhideWhenUsed/>
    <w:rsid w:val="00295785"/>
    <w:pPr>
      <w:spacing w:after="60" w:line="264" w:lineRule="auto"/>
    </w:pPr>
    <w:rPr>
      <w:sz w:val="20"/>
      <w:szCs w:val="20"/>
    </w:rPr>
  </w:style>
  <w:style w:type="character" w:customStyle="1" w:styleId="EndnoteTextChar">
    <w:name w:val="Endnote Text Char"/>
    <w:basedOn w:val="DefaultParagraphFont"/>
    <w:link w:val="EndnoteText"/>
    <w:uiPriority w:val="99"/>
    <w:rsid w:val="00295785"/>
    <w:rPr>
      <w:rFonts w:eastAsiaTheme="minorHAnsi" w:cstheme="minorBidi"/>
      <w:lang w:eastAsia="en-US"/>
    </w:rPr>
  </w:style>
  <w:style w:type="character" w:styleId="EndnoteReference">
    <w:name w:val="endnote reference"/>
    <w:basedOn w:val="DefaultParagraphFont"/>
    <w:uiPriority w:val="99"/>
    <w:semiHidden/>
    <w:unhideWhenUsed/>
    <w:rsid w:val="00295785"/>
    <w:rPr>
      <w:vertAlign w:val="superscript"/>
    </w:rPr>
  </w:style>
  <w:style w:type="paragraph" w:styleId="Title">
    <w:name w:val="Title"/>
    <w:basedOn w:val="Normal"/>
    <w:next w:val="Normal"/>
    <w:link w:val="TitleChar"/>
    <w:uiPriority w:val="10"/>
    <w:qFormat/>
    <w:rsid w:val="00295785"/>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295785"/>
    <w:rPr>
      <w:rFonts w:eastAsiaTheme="majorEastAsia" w:cstheme="majorBidi"/>
      <w:b/>
      <w:spacing w:val="5"/>
      <w:kern w:val="28"/>
      <w:sz w:val="72"/>
      <w:szCs w:val="52"/>
      <w:lang w:eastAsia="en-US"/>
    </w:rPr>
  </w:style>
  <w:style w:type="paragraph" w:customStyle="1" w:styleId="TOCHeading2">
    <w:name w:val="TOC Heading 2"/>
    <w:next w:val="Normal"/>
    <w:qFormat/>
    <w:rsid w:val="00F01015"/>
    <w:rPr>
      <w:rFonts w:ascii="Calibri Light" w:eastAsiaTheme="minorHAnsi" w:hAnsi="Calibri Light" w:cstheme="minorBidi"/>
      <w:b/>
      <w:sz w:val="36"/>
      <w:szCs w:val="22"/>
      <w:lang w:eastAsia="en-US"/>
    </w:rPr>
  </w:style>
  <w:style w:type="numbering" w:customStyle="1" w:styleId="Numberlist">
    <w:name w:val="Number list"/>
    <w:uiPriority w:val="99"/>
    <w:rsid w:val="00295785"/>
    <w:pPr>
      <w:numPr>
        <w:numId w:val="19"/>
      </w:numPr>
    </w:pPr>
  </w:style>
  <w:style w:type="numbering" w:customStyle="1" w:styleId="Headinglist">
    <w:name w:val="Heading list"/>
    <w:uiPriority w:val="99"/>
    <w:rsid w:val="00295785"/>
    <w:pPr>
      <w:numPr>
        <w:numId w:val="20"/>
      </w:numPr>
    </w:pPr>
  </w:style>
  <w:style w:type="paragraph" w:customStyle="1" w:styleId="Normalsmall">
    <w:name w:val="Normal small"/>
    <w:qFormat/>
    <w:rsid w:val="00295785"/>
    <w:pPr>
      <w:spacing w:after="120" w:line="276" w:lineRule="auto"/>
    </w:pPr>
    <w:rPr>
      <w:rFonts w:eastAsiaTheme="minorHAnsi" w:cstheme="minorBidi"/>
      <w:sz w:val="18"/>
      <w:szCs w:val="18"/>
      <w:lang w:eastAsia="en-US"/>
    </w:rPr>
  </w:style>
  <w:style w:type="table" w:customStyle="1" w:styleId="ABARESTableleftrightalign">
    <w:name w:val="ABARES Table (left/right align)"/>
    <w:basedOn w:val="TableNormal"/>
    <w:uiPriority w:val="99"/>
    <w:rsid w:val="00295785"/>
    <w:pPr>
      <w:spacing w:before="60" w:after="60"/>
      <w:jc w:val="right"/>
    </w:pPr>
    <w:rPr>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295785"/>
    <w:pPr>
      <w:spacing w:before="60" w:after="60"/>
    </w:pPr>
    <w:rPr>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295785"/>
    <w:pPr>
      <w:numPr>
        <w:numId w:val="22"/>
      </w:numPr>
      <w:spacing w:before="60" w:after="60"/>
      <w:ind w:left="403"/>
      <w:contextualSpacing/>
    </w:pPr>
    <w:rPr>
      <w:color w:val="000000" w:themeColor="text1"/>
      <w:sz w:val="18"/>
      <w:szCs w:val="22"/>
      <w:lang w:eastAsia="en-US"/>
    </w:rPr>
  </w:style>
  <w:style w:type="character" w:styleId="IntenseEmphasis">
    <w:name w:val="Intense Emphasis"/>
    <w:basedOn w:val="DefaultParagraphFont"/>
    <w:uiPriority w:val="21"/>
    <w:qFormat/>
    <w:rsid w:val="00295785"/>
    <w:rPr>
      <w:i/>
      <w:iCs/>
      <w:color w:val="4F81BD" w:themeColor="accent1"/>
    </w:rPr>
  </w:style>
  <w:style w:type="paragraph" w:customStyle="1" w:styleId="TableBullet2">
    <w:name w:val="Table Bullet 2"/>
    <w:basedOn w:val="TableBullet1"/>
    <w:qFormat/>
    <w:rsid w:val="00295785"/>
    <w:pPr>
      <w:numPr>
        <w:numId w:val="25"/>
      </w:numPr>
      <w:tabs>
        <w:tab w:val="num" w:pos="284"/>
      </w:tabs>
      <w:ind w:left="568" w:hanging="284"/>
    </w:pPr>
  </w:style>
  <w:style w:type="numbering" w:customStyle="1" w:styleId="TableBulletlist">
    <w:name w:val="Table Bullet list"/>
    <w:uiPriority w:val="99"/>
    <w:rsid w:val="00295785"/>
    <w:pPr>
      <w:numPr>
        <w:numId w:val="24"/>
      </w:numPr>
    </w:pPr>
  </w:style>
  <w:style w:type="paragraph" w:styleId="ListParagraph">
    <w:name w:val="List Paragraph"/>
    <w:basedOn w:val="Normal"/>
    <w:link w:val="ListParagraphChar"/>
    <w:uiPriority w:val="99"/>
    <w:qFormat/>
    <w:rsid w:val="00295785"/>
    <w:pPr>
      <w:spacing w:after="160" w:line="259" w:lineRule="auto"/>
      <w:ind w:left="720"/>
    </w:pPr>
    <w:rPr>
      <w:rFonts w:ascii="Calibri" w:eastAsia="Calibri" w:hAnsi="Calibri"/>
      <w:lang w:eastAsia="en-AU"/>
    </w:rPr>
  </w:style>
  <w:style w:type="character" w:customStyle="1" w:styleId="ListParagraphChar">
    <w:name w:val="List Paragraph Char"/>
    <w:basedOn w:val="DefaultParagraphFont"/>
    <w:link w:val="ListParagraph"/>
    <w:uiPriority w:val="34"/>
    <w:rsid w:val="00295785"/>
    <w:rPr>
      <w:rFonts w:ascii="Calibri" w:hAnsi="Calibri" w:cstheme="minorBidi"/>
      <w:sz w:val="22"/>
      <w:szCs w:val="22"/>
    </w:rPr>
  </w:style>
  <w:style w:type="table" w:customStyle="1" w:styleId="TableGrid10">
    <w:name w:val="Table Grid1"/>
    <w:basedOn w:val="TableNormal"/>
    <w:next w:val="TableGrid"/>
    <w:uiPriority w:val="59"/>
    <w:rsid w:val="00295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6C2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82B8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s1">
    <w:name w:val="ListBullets1"/>
    <w:uiPriority w:val="99"/>
    <w:rsid w:val="0015465E"/>
  </w:style>
  <w:style w:type="character" w:customStyle="1" w:styleId="UnresolvedMention1">
    <w:name w:val="Unresolved Mention1"/>
    <w:basedOn w:val="DefaultParagraphFont"/>
    <w:uiPriority w:val="99"/>
    <w:semiHidden/>
    <w:unhideWhenUsed/>
    <w:rsid w:val="00634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066912">
      <w:bodyDiv w:val="1"/>
      <w:marLeft w:val="0"/>
      <w:marRight w:val="0"/>
      <w:marTop w:val="0"/>
      <w:marBottom w:val="0"/>
      <w:divBdr>
        <w:top w:val="none" w:sz="0" w:space="0" w:color="auto"/>
        <w:left w:val="none" w:sz="0" w:space="0" w:color="auto"/>
        <w:bottom w:val="none" w:sz="0" w:space="0" w:color="auto"/>
        <w:right w:val="none" w:sz="0" w:space="0" w:color="auto"/>
      </w:divBdr>
    </w:div>
    <w:div w:id="1109085583">
      <w:bodyDiv w:val="1"/>
      <w:marLeft w:val="0"/>
      <w:marRight w:val="0"/>
      <w:marTop w:val="0"/>
      <w:marBottom w:val="0"/>
      <w:divBdr>
        <w:top w:val="none" w:sz="0" w:space="0" w:color="auto"/>
        <w:left w:val="none" w:sz="0" w:space="0" w:color="auto"/>
        <w:bottom w:val="none" w:sz="0" w:space="0" w:color="auto"/>
        <w:right w:val="none" w:sz="0" w:space="0" w:color="auto"/>
      </w:divBdr>
    </w:div>
    <w:div w:id="1531800653">
      <w:bodyDiv w:val="1"/>
      <w:marLeft w:val="0"/>
      <w:marRight w:val="0"/>
      <w:marTop w:val="0"/>
      <w:marBottom w:val="0"/>
      <w:divBdr>
        <w:top w:val="none" w:sz="0" w:space="0" w:color="auto"/>
        <w:left w:val="none" w:sz="0" w:space="0" w:color="auto"/>
        <w:bottom w:val="none" w:sz="0" w:space="0" w:color="auto"/>
        <w:right w:val="none" w:sz="0" w:space="0" w:color="auto"/>
      </w:divBdr>
    </w:div>
    <w:div w:id="213759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glae@awe.gov.au" TargetMode="External"/><Relationship Id="rId18" Type="http://schemas.openxmlformats.org/officeDocument/2006/relationships/image" Target="media/image3.png"/><Relationship Id="rId26" Type="http://schemas.openxmlformats.org/officeDocument/2006/relationships/hyperlink" Target="https://www.iglae.gov.au/current-reviews" TargetMode="External"/><Relationship Id="rId39" Type="http://schemas.openxmlformats.org/officeDocument/2006/relationships/hyperlink" Target="https://www.agriculture.gov.au/export/controlled-goods/live-animals/livestock/regulatory-framework/compliance-investigations/independent-observations-livestock-export-sea/report-219/additional-report"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s://haveyoursay.awe.gov.au/progress-moss-review-recommendations" TargetMode="External"/><Relationship Id="rId42" Type="http://schemas.openxmlformats.org/officeDocument/2006/relationships/hyperlink" Target="https://parlinfo.aph.gov.au/parlInfo/search/display/display.w3p;adv=yes;orderBy=customrank;page=1;query=AuthorId%3A265585%20%7C%20ReporterId%3A265585%20%7C%20SpeakerId%3A265585%20Date%3A01%2F04%2F2018%20%3E%3E%2030%2F04%2F2018%20Dataset%3Apressrel;rec=4;resCount=Default" TargetMode="External"/><Relationship Id="rId47" Type="http://schemas.openxmlformats.org/officeDocument/2006/relationships/hyperlink" Target="https://haveyoursay.awe.gov.au/progress-moss-review-recommendations"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glae.gov.au/current-reviews" TargetMode="External"/><Relationship Id="rId17" Type="http://schemas.openxmlformats.org/officeDocument/2006/relationships/hyperlink" Target="https://www.agriculture.gov.au/animal/welfare/export-trade/independent-review-of-regulation" TargetMode="External"/><Relationship Id="rId25" Type="http://schemas.openxmlformats.org/officeDocument/2006/relationships/hyperlink" Target="https://www.iglae.gov.au/current-reviews" TargetMode="External"/><Relationship Id="rId33" Type="http://schemas.openxmlformats.org/officeDocument/2006/relationships/image" Target="media/image5.png"/><Relationship Id="rId38" Type="http://schemas.openxmlformats.org/officeDocument/2006/relationships/hyperlink" Target="https://www.agriculture.gov.au/animal/welfare/export-trade/independent-review-of-regulation" TargetMode="External"/><Relationship Id="rId46" Type="http://schemas.openxmlformats.org/officeDocument/2006/relationships/hyperlink" Target="https://haveyoursay.awe.gov.au/progress-moss-review-recommendations" TargetMode="External"/><Relationship Id="rId2" Type="http://schemas.openxmlformats.org/officeDocument/2006/relationships/numbering" Target="numbering.xml"/><Relationship Id="rId16" Type="http://schemas.openxmlformats.org/officeDocument/2006/relationships/hyperlink" Target="https://www.iglae.gov.au/current-reviews" TargetMode="External"/><Relationship Id="rId20" Type="http://schemas.openxmlformats.org/officeDocument/2006/relationships/header" Target="header2.xml"/><Relationship Id="rId29" Type="http://schemas.openxmlformats.org/officeDocument/2006/relationships/hyperlink" Target="https://haveyoursay.awe.gov.au/search-all-consultations" TargetMode="External"/><Relationship Id="rId41" Type="http://schemas.openxmlformats.org/officeDocument/2006/relationships/hyperlink" Target="https://www.iglae.gov.au/current-revie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iglae.gov.au/current-reviews" TargetMode="External"/><Relationship Id="rId32" Type="http://schemas.openxmlformats.org/officeDocument/2006/relationships/hyperlink" Target="https://www.agriculture.gov.au/animal/welfare/export-trade/independent-review-of-regulation" TargetMode="External"/><Relationship Id="rId37" Type="http://schemas.openxmlformats.org/officeDocument/2006/relationships/hyperlink" Target="https://www.agriculture.gov.au/animal/welfare/export-trade/independent-review-of-regulation" TargetMode="External"/><Relationship Id="rId40" Type="http://schemas.openxmlformats.org/officeDocument/2006/relationships/hyperlink" Target="https://www.awe.gov.au/news/media-releases/media-statement-departments-investigation-awassi-express" TargetMode="External"/><Relationship Id="rId45" Type="http://schemas.openxmlformats.org/officeDocument/2006/relationships/hyperlink" Target="https://haveyoursay.awe.gov.au/progress-moss-review-recommendations" TargetMode="External"/><Relationship Id="rId5" Type="http://schemas.openxmlformats.org/officeDocument/2006/relationships/webSettings" Target="webSettings.xml"/><Relationship Id="rId15" Type="http://schemas.openxmlformats.org/officeDocument/2006/relationships/hyperlink" Target="https://www.agriculture.gov.au/animal/welfare/export-trade/independent-review-of-regulation" TargetMode="External"/><Relationship Id="rId23" Type="http://schemas.openxmlformats.org/officeDocument/2006/relationships/hyperlink" Target="https://www.agriculture.gov.au/animal/welfare/export-trade/independent-review-of-regulation" TargetMode="External"/><Relationship Id="rId28" Type="http://schemas.openxmlformats.org/officeDocument/2006/relationships/hyperlink" Target="https://www.iglae.gov.au/current-reviews" TargetMode="External"/><Relationship Id="rId36" Type="http://schemas.openxmlformats.org/officeDocument/2006/relationships/hyperlink" Target="https://www.cdpp.gov.au/prosecution-process/prosecution-policy" TargetMode="External"/><Relationship Id="rId49" Type="http://schemas.openxmlformats.org/officeDocument/2006/relationships/footer" Target="footer2.xml"/><Relationship Id="rId10" Type="http://schemas.openxmlformats.org/officeDocument/2006/relationships/hyperlink" Target="mailto:copyright@awe.gov.au" TargetMode="External"/><Relationship Id="rId19" Type="http://schemas.openxmlformats.org/officeDocument/2006/relationships/header" Target="header1.xml"/><Relationship Id="rId31" Type="http://schemas.openxmlformats.org/officeDocument/2006/relationships/hyperlink" Target="https://www.iglae.gov.au/current-reviews" TargetMode="External"/><Relationship Id="rId44" Type="http://schemas.openxmlformats.org/officeDocument/2006/relationships/hyperlink" Target="https://www.agriculture.gov.au/sites/default/files/sitecollectiondocuments/export/moss-review.pdf" TargetMode="Externa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hyperlink" Target="https://www.iglae.gov.au/" TargetMode="External"/><Relationship Id="rId22" Type="http://schemas.openxmlformats.org/officeDocument/2006/relationships/header" Target="header3.xml"/><Relationship Id="rId27" Type="http://schemas.openxmlformats.org/officeDocument/2006/relationships/hyperlink" Target="https://www.iglae.gov.au/current-reviews" TargetMode="External"/><Relationship Id="rId30" Type="http://schemas.openxmlformats.org/officeDocument/2006/relationships/hyperlink" Target="https://www.iglae.gov.au/current-reviews" TargetMode="External"/><Relationship Id="rId35" Type="http://schemas.openxmlformats.org/officeDocument/2006/relationships/hyperlink" Target="https://www.agriculture.gov.au/animal/welfare/export-trade/review-asel/sea-voyages" TargetMode="External"/><Relationship Id="rId43" Type="http://schemas.openxmlformats.org/officeDocument/2006/relationships/hyperlink" Target="https://parlinfo.aph.gov.au/parlInfo/search/display/display.w3p;query=Id%3A%22media%2Fpressrel%2F7588077%22;src1=sm1" TargetMode="External"/><Relationship Id="rId48"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3D6AF-60CB-4E00-A532-BEF94CA1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55</Pages>
  <Words>20275</Words>
  <Characters>115569</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Implementation of Moss Review recommendations</vt:lpstr>
    </vt:vector>
  </TitlesOfParts>
  <Company/>
  <LinksUpToDate>false</LinksUpToDate>
  <CharactersWithSpaces>135573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Moss Review recommendations</dc:title>
  <dc:subject/>
  <dc:creator>Inspector-General of Live Animal Exports</dc:creator>
  <cp:keywords/>
  <dc:description/>
  <cp:lastModifiedBy>Dang, Van</cp:lastModifiedBy>
  <cp:revision>89</cp:revision>
  <cp:lastPrinted>2020-12-14T22:13:00Z</cp:lastPrinted>
  <dcterms:created xsi:type="dcterms:W3CDTF">2020-11-19T06:37:00Z</dcterms:created>
  <dcterms:modified xsi:type="dcterms:W3CDTF">2020-12-17T22:21:00Z</dcterms:modified>
</cp:coreProperties>
</file>