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65BC" w14:textId="724B5CCF" w:rsidR="0065401A" w:rsidRDefault="00746FC8">
      <w:pPr>
        <w:pStyle w:val="Heading1"/>
      </w:pPr>
      <w:r>
        <w:t>Communication and engagement in l</w:t>
      </w:r>
      <w:r w:rsidR="005D0729">
        <w:t xml:space="preserve">ivestock export </w:t>
      </w:r>
      <w:r>
        <w:t>regulation</w:t>
      </w:r>
    </w:p>
    <w:p w14:paraId="7F3FB0B8" w14:textId="1DBB5308" w:rsidR="0065401A" w:rsidRDefault="002D0E53" w:rsidP="0028334D">
      <w:pPr>
        <w:pStyle w:val="Date"/>
        <w:spacing w:line="720" w:lineRule="auto"/>
        <w:rPr>
          <w:lang w:val="es-ES"/>
        </w:rPr>
      </w:pPr>
      <w:proofErr w:type="spellStart"/>
      <w:r>
        <w:rPr>
          <w:lang w:val="es-ES"/>
        </w:rPr>
        <w:t>Review</w:t>
      </w:r>
      <w:proofErr w:type="spellEnd"/>
      <w:r>
        <w:rPr>
          <w:lang w:val="es-ES"/>
        </w:rPr>
        <w:t xml:space="preserve"> </w:t>
      </w:r>
      <w:proofErr w:type="spellStart"/>
      <w:r>
        <w:rPr>
          <w:lang w:val="es-ES"/>
        </w:rPr>
        <w:t>r</w:t>
      </w:r>
      <w:r w:rsidR="005D0729">
        <w:rPr>
          <w:lang w:val="es-ES"/>
        </w:rPr>
        <w:t>eport</w:t>
      </w:r>
      <w:proofErr w:type="spellEnd"/>
      <w:r w:rsidR="005D0729">
        <w:rPr>
          <w:lang w:val="es-ES"/>
        </w:rPr>
        <w:t xml:space="preserve"> no. </w:t>
      </w:r>
      <w:r>
        <w:rPr>
          <w:lang w:val="es-ES"/>
        </w:rPr>
        <w:t>20</w:t>
      </w:r>
      <w:r w:rsidR="00746FC8">
        <w:rPr>
          <w:lang w:val="es-ES"/>
        </w:rPr>
        <w:t>2</w:t>
      </w:r>
      <w:r w:rsidR="00756297">
        <w:rPr>
          <w:lang w:val="es-ES"/>
        </w:rPr>
        <w:t>3</w:t>
      </w:r>
      <w:r>
        <w:rPr>
          <w:lang w:val="es-ES"/>
        </w:rPr>
        <w:t>–</w:t>
      </w:r>
      <w:r w:rsidR="00AC451C">
        <w:rPr>
          <w:lang w:val="es-ES"/>
        </w:rPr>
        <w:t>0</w:t>
      </w:r>
      <w:r w:rsidR="00756297">
        <w:rPr>
          <w:lang w:val="es-ES"/>
        </w:rPr>
        <w:t>1</w:t>
      </w:r>
    </w:p>
    <w:p w14:paraId="5AEC4C20" w14:textId="17BCBA74" w:rsidR="0065401A" w:rsidRPr="0082760D" w:rsidRDefault="005421C4" w:rsidP="0082760D">
      <w:pPr>
        <w:tabs>
          <w:tab w:val="left" w:pos="3945"/>
        </w:tabs>
        <w:rPr>
          <w:lang w:val="es-ES"/>
        </w:rPr>
      </w:pPr>
      <w:r>
        <w:rPr>
          <w:noProof/>
          <w:lang w:val="es-ES"/>
        </w:rPr>
        <w:drawing>
          <wp:inline distT="0" distB="0" distL="0" distR="0" wp14:anchorId="3E49B494" wp14:editId="276E2B12">
            <wp:extent cx="5759450" cy="3839845"/>
            <wp:effectExtent l="0" t="0" r="0" b="825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pic:spPr>
                </pic:pic>
              </a:graphicData>
            </a:graphic>
          </wp:inline>
        </w:drawing>
      </w:r>
    </w:p>
    <w:p w14:paraId="363140B7" w14:textId="0D2E6627" w:rsidR="0065401A" w:rsidRDefault="005D0729">
      <w:pPr>
        <w:pStyle w:val="Normalsmall"/>
      </w:pPr>
      <w:r>
        <w:br w:type="page"/>
      </w:r>
      <w:r>
        <w:lastRenderedPageBreak/>
        <w:t>© Commonwealth of Australia 20</w:t>
      </w:r>
      <w:r w:rsidR="002D0E53">
        <w:t>2</w:t>
      </w:r>
      <w:r w:rsidR="006A406B">
        <w:t>3</w:t>
      </w:r>
    </w:p>
    <w:p w14:paraId="1A8C8533" w14:textId="77777777" w:rsidR="0065401A" w:rsidRDefault="005D0729">
      <w:pPr>
        <w:pStyle w:val="Normalsmall"/>
        <w:rPr>
          <w:rStyle w:val="Strong"/>
        </w:rPr>
      </w:pPr>
      <w:r>
        <w:rPr>
          <w:rStyle w:val="Strong"/>
        </w:rPr>
        <w:t>Ownership of intellectual property rights</w:t>
      </w:r>
    </w:p>
    <w:p w14:paraId="1BDEAB67" w14:textId="77777777" w:rsidR="0065401A" w:rsidRDefault="005D0729">
      <w:pPr>
        <w:pStyle w:val="Normalsmall"/>
      </w:pPr>
      <w:r>
        <w:t>Unless otherwise noted, copyright (and any other intellectual property rights) in this publication is owned by the Commonwealth of Australia (referred to as the Commonwealth).</w:t>
      </w:r>
    </w:p>
    <w:p w14:paraId="486258E6" w14:textId="77777777" w:rsidR="0065401A" w:rsidRDefault="005D0729">
      <w:pPr>
        <w:pStyle w:val="Normalsmall"/>
        <w:rPr>
          <w:rStyle w:val="Strong"/>
        </w:rPr>
      </w:pPr>
      <w:r>
        <w:rPr>
          <w:rStyle w:val="Strong"/>
        </w:rPr>
        <w:t>Creative Commons licence</w:t>
      </w:r>
    </w:p>
    <w:p w14:paraId="7FF93828" w14:textId="77777777" w:rsidR="0065401A" w:rsidRDefault="005D0729">
      <w:pPr>
        <w:pStyle w:val="Normalsmall"/>
      </w:pPr>
      <w:r>
        <w:t xml:space="preserve">All material in this publication is licensed under a </w:t>
      </w:r>
      <w:r>
        <w:rPr>
          <w:rStyle w:val="Hyperlink"/>
        </w:rPr>
        <w:t>Creative Commons Attribution 4.0 International Licence</w:t>
      </w:r>
      <w:r>
        <w:t xml:space="preserve"> except content supplied by third parties, </w:t>
      </w:r>
      <w:proofErr w:type="gramStart"/>
      <w:r>
        <w:t>logos</w:t>
      </w:r>
      <w:proofErr w:type="gramEnd"/>
      <w:r>
        <w:t xml:space="preserve"> and the Commonwealth Coat of Arms.</w:t>
      </w:r>
    </w:p>
    <w:p w14:paraId="16EC571C" w14:textId="58D80006" w:rsidR="0065401A" w:rsidRDefault="00373C78">
      <w:pPr>
        <w:pStyle w:val="Normalsmall"/>
      </w:pPr>
      <w:r>
        <w:t>E</w:t>
      </w:r>
      <w:r w:rsidR="005D0729">
        <w:t xml:space="preserve">nquiries about the licence and any use of this document should be emailed to </w:t>
      </w:r>
      <w:r w:rsidR="005D0729">
        <w:rPr>
          <w:rStyle w:val="Hyperlink"/>
        </w:rPr>
        <w:t>copyright@a</w:t>
      </w:r>
      <w:r w:rsidR="00606542">
        <w:rPr>
          <w:rStyle w:val="Hyperlink"/>
        </w:rPr>
        <w:t>ff</w:t>
      </w:r>
      <w:r w:rsidR="005D0729">
        <w:rPr>
          <w:rStyle w:val="Hyperlink"/>
        </w:rPr>
        <w:t>.gov.au</w:t>
      </w:r>
      <w:r w:rsidR="005D0729">
        <w:t>.</w:t>
      </w:r>
    </w:p>
    <w:p w14:paraId="03D69B53" w14:textId="77777777" w:rsidR="0065401A" w:rsidRDefault="005D0729">
      <w:pPr>
        <w:pStyle w:val="Normalsmall"/>
      </w:pPr>
      <w:r>
        <w:rPr>
          <w:noProof/>
          <w:color w:val="2B579A"/>
          <w:shd w:val="clear" w:color="auto" w:fill="E6E6E6"/>
          <w:lang w:eastAsia="en-AU"/>
        </w:rPr>
        <w:drawing>
          <wp:inline distT="0" distB="0" distL="0" distR="0" wp14:anchorId="095589E0" wp14:editId="01EE389F">
            <wp:extent cx="724535" cy="255270"/>
            <wp:effectExtent l="1905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B1183EF" w14:textId="77777777" w:rsidR="0065401A" w:rsidRDefault="005D0729">
      <w:pPr>
        <w:pStyle w:val="Normalsmall"/>
        <w:rPr>
          <w:rStyle w:val="Strong"/>
        </w:rPr>
      </w:pPr>
      <w:r>
        <w:rPr>
          <w:rStyle w:val="Strong"/>
        </w:rPr>
        <w:t>Cataloguing data</w:t>
      </w:r>
    </w:p>
    <w:p w14:paraId="49FF5E49" w14:textId="45822C41" w:rsidR="0065401A" w:rsidRDefault="005D0729">
      <w:pPr>
        <w:pStyle w:val="Normalsmall"/>
      </w:pPr>
      <w:r>
        <w:t>This publication (and any material sourced from it) should be attributed as:</w:t>
      </w:r>
      <w:r w:rsidR="00B55226">
        <w:t xml:space="preserve"> </w:t>
      </w:r>
      <w:r w:rsidR="008877A9">
        <w:rPr>
          <w:lang w:val="es-ES"/>
        </w:rPr>
        <w:t>Inspector-General of Live Animal Exports 2023</w:t>
      </w:r>
      <w:r w:rsidR="008877A9">
        <w:t xml:space="preserve">, </w:t>
      </w:r>
      <w:r w:rsidR="00B55226" w:rsidRPr="003D2657">
        <w:rPr>
          <w:i/>
          <w:iCs/>
        </w:rPr>
        <w:t>Communication and engagement in livestock export regulation</w:t>
      </w:r>
      <w:r w:rsidR="00B55226">
        <w:t xml:space="preserve">, </w:t>
      </w:r>
      <w:r>
        <w:t>Canberra. CC BY 4.0.</w:t>
      </w:r>
    </w:p>
    <w:p w14:paraId="3FA19F96" w14:textId="77777777" w:rsidR="0065401A" w:rsidRDefault="005D0729">
      <w:pPr>
        <w:pStyle w:val="Normalsmall"/>
      </w:pPr>
      <w:r>
        <w:t xml:space="preserve">This publication is available at </w:t>
      </w:r>
      <w:hyperlink r:id="rId13" w:history="1">
        <w:r>
          <w:rPr>
            <w:rStyle w:val="Hyperlink"/>
          </w:rPr>
          <w:t>iglae.gov.au</w:t>
        </w:r>
      </w:hyperlink>
      <w:r>
        <w:t>.</w:t>
      </w:r>
    </w:p>
    <w:p w14:paraId="2955D5DF" w14:textId="77777777" w:rsidR="00085FFC" w:rsidRDefault="00085FFC" w:rsidP="00085FFC">
      <w:pPr>
        <w:pStyle w:val="Normalsmall"/>
        <w:spacing w:after="0"/>
        <w:rPr>
          <w:lang w:val="en"/>
        </w:rPr>
      </w:pPr>
      <w:r>
        <w:rPr>
          <w:lang w:val="en"/>
        </w:rPr>
        <w:t>Inspector-General of Live Animal Exports</w:t>
      </w:r>
    </w:p>
    <w:p w14:paraId="5CFAA088" w14:textId="77777777" w:rsidR="00085FFC" w:rsidRDefault="00085FFC" w:rsidP="00085FFC">
      <w:pPr>
        <w:pStyle w:val="Normalsmall"/>
        <w:spacing w:after="0"/>
      </w:pPr>
      <w:r>
        <w:rPr>
          <w:lang w:val="en"/>
        </w:rPr>
        <w:t xml:space="preserve">c/- </w:t>
      </w:r>
      <w:r>
        <w:t>Department of Agriculture, Fisheries and Forestry</w:t>
      </w:r>
    </w:p>
    <w:p w14:paraId="15ED628E" w14:textId="77777777" w:rsidR="00085FFC" w:rsidRDefault="00085FFC" w:rsidP="00085FFC">
      <w:pPr>
        <w:pStyle w:val="Normalsmall"/>
        <w:spacing w:after="0"/>
      </w:pPr>
      <w:r>
        <w:t>GPO Box 858 Canberra ACT 2601</w:t>
      </w:r>
    </w:p>
    <w:p w14:paraId="4EEA94FC" w14:textId="77777777" w:rsidR="00085FFC" w:rsidRDefault="00085FFC" w:rsidP="00085FFC">
      <w:pPr>
        <w:pStyle w:val="Normalsmall"/>
        <w:spacing w:after="0"/>
      </w:pPr>
      <w:r>
        <w:t>Telephone 1800 900 090</w:t>
      </w:r>
    </w:p>
    <w:p w14:paraId="1862789E" w14:textId="767F8F3E" w:rsidR="00085FFC" w:rsidRDefault="00085FFC" w:rsidP="00085FFC">
      <w:pPr>
        <w:pStyle w:val="Normalsmall"/>
        <w:spacing w:after="0"/>
      </w:pPr>
      <w:r>
        <w:t xml:space="preserve">Email </w:t>
      </w:r>
      <w:hyperlink r:id="rId14" w:history="1">
        <w:r w:rsidR="00E31147" w:rsidRPr="00E31147">
          <w:rPr>
            <w:rStyle w:val="Hyperlink"/>
          </w:rPr>
          <w:t>iglae@aff.gov.au</w:t>
        </w:r>
      </w:hyperlink>
    </w:p>
    <w:p w14:paraId="14B9FC8C" w14:textId="759010F1" w:rsidR="00085FFC" w:rsidRDefault="00085FFC" w:rsidP="00085FFC">
      <w:pPr>
        <w:pStyle w:val="Normalsmall"/>
      </w:pPr>
      <w:r>
        <w:t xml:space="preserve">Web </w:t>
      </w:r>
      <w:hyperlink r:id="rId15" w:history="1">
        <w:r w:rsidRPr="00C40B38">
          <w:rPr>
            <w:rStyle w:val="Hyperlink"/>
          </w:rPr>
          <w:t>iglae.gov.au</w:t>
        </w:r>
      </w:hyperlink>
    </w:p>
    <w:p w14:paraId="1BB3671D" w14:textId="69E79705" w:rsidR="0065401A" w:rsidRDefault="005D0729">
      <w:pPr>
        <w:pStyle w:val="Normalsmall"/>
      </w:pPr>
      <w:r>
        <w:t xml:space="preserve">The </w:t>
      </w:r>
      <w:r w:rsidR="00921EC5">
        <w:t>A</w:t>
      </w:r>
      <w:r>
        <w:t>ustralian Government acting through the Department of Agriculture</w:t>
      </w:r>
      <w:r w:rsidR="00662409">
        <w:t>,</w:t>
      </w:r>
      <w:r w:rsidR="00F71271">
        <w:t xml:space="preserve"> Fisheries and Forestry</w:t>
      </w:r>
      <w:r>
        <w:t xml:space="preserve"> has exercised due care and skill in preparing and compiling the information and data in this publication. Notwithstanding, the Department of Agriculture,</w:t>
      </w:r>
      <w:r w:rsidR="00662409">
        <w:t xml:space="preserve"> </w:t>
      </w:r>
      <w:r w:rsidR="00F71271">
        <w:t>Fisheries and Forestry</w:t>
      </w:r>
      <w:r w:rsidR="00662409">
        <w:t>,</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C87724A" w14:textId="77777777" w:rsidR="00662409" w:rsidRDefault="00662409">
      <w:pPr>
        <w:pStyle w:val="Normalsmall"/>
        <w:rPr>
          <w:rStyle w:val="Strong"/>
        </w:rPr>
      </w:pPr>
      <w:r>
        <w:rPr>
          <w:rStyle w:val="Strong"/>
        </w:rPr>
        <w:t>Credits</w:t>
      </w:r>
    </w:p>
    <w:p w14:paraId="033867EA" w14:textId="27474DDA" w:rsidR="00662409" w:rsidRPr="00662409" w:rsidRDefault="00662409" w:rsidP="00662409">
      <w:pPr>
        <w:pStyle w:val="Normalsmall"/>
      </w:pPr>
      <w:r w:rsidRPr="00662409">
        <w:t>The source of data for all figures and tables is the Department of Agriculture,</w:t>
      </w:r>
      <w:r w:rsidR="00F71271">
        <w:t xml:space="preserve"> Fisheries and Forestry</w:t>
      </w:r>
      <w:r w:rsidRPr="00662409">
        <w:t xml:space="preserve"> unless otherwise noted.</w:t>
      </w:r>
    </w:p>
    <w:p w14:paraId="25F7261F" w14:textId="77777777" w:rsidR="0065401A" w:rsidRPr="00662409" w:rsidRDefault="00662409">
      <w:pPr>
        <w:pStyle w:val="Normalsmall"/>
        <w:rPr>
          <w:rStyle w:val="Strong"/>
        </w:rPr>
      </w:pPr>
      <w:r w:rsidRPr="00662409">
        <w:rPr>
          <w:rStyle w:val="Strong"/>
        </w:rPr>
        <w:t>Review team and a</w:t>
      </w:r>
      <w:r w:rsidR="005D0729" w:rsidRPr="00662409">
        <w:rPr>
          <w:rStyle w:val="Strong"/>
        </w:rPr>
        <w:t>cknowledgements</w:t>
      </w:r>
    </w:p>
    <w:p w14:paraId="157E29E4" w14:textId="752ECDDF" w:rsidR="00662409" w:rsidRDefault="00662409" w:rsidP="00662409">
      <w:pPr>
        <w:pStyle w:val="Normalsmall"/>
      </w:pPr>
      <w:r>
        <w:t xml:space="preserve">Mr Glenn McMellon and </w:t>
      </w:r>
      <w:r w:rsidR="00085FFC">
        <w:t>Ms Heidi Barbour</w:t>
      </w:r>
      <w:r>
        <w:t xml:space="preserve"> assisted the Inspector-General in this review.</w:t>
      </w:r>
    </w:p>
    <w:p w14:paraId="2F29B0A3" w14:textId="6F1D2BC9" w:rsidR="00B55226" w:rsidRDefault="00B55226" w:rsidP="00662409">
      <w:pPr>
        <w:pStyle w:val="Normalsmall"/>
      </w:pPr>
      <w:bookmarkStart w:id="0" w:name="_Hlk115877079"/>
      <w:r w:rsidRPr="00B55226">
        <w:t xml:space="preserve">We acknowledge the Traditional Custodians of Australia and their continuing connection to land and sea, waters, </w:t>
      </w:r>
      <w:proofErr w:type="gramStart"/>
      <w:r w:rsidRPr="00B55226">
        <w:t>environment</w:t>
      </w:r>
      <w:proofErr w:type="gramEnd"/>
      <w:r w:rsidRPr="00B55226">
        <w:t xml:space="preserve"> and community. We pay our respects to the Traditional Custodians of the lands we live and work on, their culture, and their Elders past and present.</w:t>
      </w:r>
    </w:p>
    <w:bookmarkEnd w:id="0"/>
    <w:p w14:paraId="6F73E602" w14:textId="611D92D0" w:rsidR="00E81411" w:rsidRDefault="00662409" w:rsidP="00662409">
      <w:pPr>
        <w:pStyle w:val="Normalsmall"/>
      </w:pPr>
      <w:r>
        <w:t xml:space="preserve">The Inspector-General gratefully acknowledges the cooperation and advice of the Australian Government Department of Agriculture, </w:t>
      </w:r>
      <w:r w:rsidR="005F298C">
        <w:t>Fisheries and Forestry</w:t>
      </w:r>
      <w:r>
        <w:t xml:space="preserve"> and those that provided submissions and input into this review.</w:t>
      </w:r>
    </w:p>
    <w:p w14:paraId="26F3F7C1" w14:textId="0FF4033B" w:rsidR="00E81411" w:rsidRPr="00E81411" w:rsidRDefault="00E81411" w:rsidP="00E81411">
      <w:pPr>
        <w:spacing w:after="0" w:line="240" w:lineRule="auto"/>
        <w:rPr>
          <w:sz w:val="18"/>
          <w:szCs w:val="18"/>
        </w:rPr>
      </w:pPr>
      <w:r>
        <w:br w:type="page"/>
      </w:r>
    </w:p>
    <w:sdt>
      <w:sdtPr>
        <w:rPr>
          <w:rFonts w:ascii="Cambria" w:eastAsiaTheme="minorHAnsi" w:hAnsi="Cambria"/>
          <w:bCs w:val="0"/>
          <w:color w:val="auto"/>
          <w:sz w:val="22"/>
          <w:szCs w:val="22"/>
          <w:shd w:val="clear" w:color="auto" w:fill="E6E6E6"/>
          <w:lang w:eastAsia="en-US"/>
        </w:rPr>
        <w:id w:val="-760297017"/>
        <w:docPartObj>
          <w:docPartGallery w:val="Table of Contents"/>
          <w:docPartUnique/>
        </w:docPartObj>
      </w:sdtPr>
      <w:sdtEndPr>
        <w:rPr>
          <w:b/>
          <w:noProof/>
        </w:rPr>
      </w:sdtEndPr>
      <w:sdtContent>
        <w:p w14:paraId="0B7D57FA" w14:textId="77777777" w:rsidR="0065401A" w:rsidRDefault="005D0729">
          <w:pPr>
            <w:pStyle w:val="TOCHeading"/>
          </w:pPr>
          <w:r>
            <w:t>Contents</w:t>
          </w:r>
        </w:p>
        <w:p w14:paraId="690B1293" w14:textId="56716961" w:rsidR="00367663" w:rsidRDefault="005D0729">
          <w:pPr>
            <w:pStyle w:val="TOC1"/>
            <w:rPr>
              <w:rFonts w:asciiTheme="minorHAnsi" w:eastAsiaTheme="minorEastAsia" w:hAnsiTheme="minorHAnsi"/>
              <w:b w:val="0"/>
              <w:lang w:eastAsia="en-AU"/>
            </w:rPr>
          </w:pPr>
          <w:r>
            <w:rPr>
              <w:b w:val="0"/>
              <w:color w:val="2B579A"/>
              <w:shd w:val="clear" w:color="auto" w:fill="E6E6E6"/>
            </w:rPr>
            <w:fldChar w:fldCharType="begin"/>
          </w:r>
          <w:r>
            <w:rPr>
              <w:b w:val="0"/>
            </w:rPr>
            <w:instrText xml:space="preserve"> TOC \h \z \u \t "Heading 2,1,Heading 3,2,Style1,2,TOA Heading,1" </w:instrText>
          </w:r>
          <w:r>
            <w:rPr>
              <w:b w:val="0"/>
              <w:color w:val="2B579A"/>
              <w:shd w:val="clear" w:color="auto" w:fill="E6E6E6"/>
            </w:rPr>
            <w:fldChar w:fldCharType="separate"/>
          </w:r>
          <w:hyperlink w:anchor="_Toc131596817" w:history="1">
            <w:r w:rsidR="00367663" w:rsidRPr="00965776">
              <w:rPr>
                <w:rStyle w:val="Hyperlink"/>
              </w:rPr>
              <w:t>Summary</w:t>
            </w:r>
            <w:r w:rsidR="00367663">
              <w:rPr>
                <w:webHidden/>
              </w:rPr>
              <w:tab/>
            </w:r>
            <w:r w:rsidR="00367663">
              <w:rPr>
                <w:webHidden/>
              </w:rPr>
              <w:fldChar w:fldCharType="begin"/>
            </w:r>
            <w:r w:rsidR="00367663">
              <w:rPr>
                <w:webHidden/>
              </w:rPr>
              <w:instrText xml:space="preserve"> PAGEREF _Toc131596817 \h </w:instrText>
            </w:r>
            <w:r w:rsidR="00367663">
              <w:rPr>
                <w:webHidden/>
              </w:rPr>
            </w:r>
            <w:r w:rsidR="00367663">
              <w:rPr>
                <w:webHidden/>
              </w:rPr>
              <w:fldChar w:fldCharType="separate"/>
            </w:r>
            <w:r w:rsidR="004A2435">
              <w:rPr>
                <w:webHidden/>
              </w:rPr>
              <w:t>v</w:t>
            </w:r>
            <w:r w:rsidR="00367663">
              <w:rPr>
                <w:webHidden/>
              </w:rPr>
              <w:fldChar w:fldCharType="end"/>
            </w:r>
          </w:hyperlink>
        </w:p>
        <w:p w14:paraId="68D473C8" w14:textId="2AEFE689" w:rsidR="00367663" w:rsidRDefault="001A683C">
          <w:pPr>
            <w:pStyle w:val="TOC1"/>
            <w:rPr>
              <w:rFonts w:asciiTheme="minorHAnsi" w:eastAsiaTheme="minorEastAsia" w:hAnsiTheme="minorHAnsi"/>
              <w:b w:val="0"/>
              <w:lang w:eastAsia="en-AU"/>
            </w:rPr>
          </w:pPr>
          <w:hyperlink w:anchor="_Toc131596818" w:history="1">
            <w:r w:rsidR="00367663" w:rsidRPr="00965776">
              <w:rPr>
                <w:rStyle w:val="Hyperlink"/>
              </w:rPr>
              <w:t>Review process</w:t>
            </w:r>
            <w:r w:rsidR="00367663">
              <w:rPr>
                <w:webHidden/>
              </w:rPr>
              <w:tab/>
            </w:r>
            <w:r w:rsidR="00367663">
              <w:rPr>
                <w:webHidden/>
              </w:rPr>
              <w:fldChar w:fldCharType="begin"/>
            </w:r>
            <w:r w:rsidR="00367663">
              <w:rPr>
                <w:webHidden/>
              </w:rPr>
              <w:instrText xml:space="preserve"> PAGEREF _Toc131596818 \h </w:instrText>
            </w:r>
            <w:r w:rsidR="00367663">
              <w:rPr>
                <w:webHidden/>
              </w:rPr>
            </w:r>
            <w:r w:rsidR="00367663">
              <w:rPr>
                <w:webHidden/>
              </w:rPr>
              <w:fldChar w:fldCharType="separate"/>
            </w:r>
            <w:r w:rsidR="004A2435">
              <w:rPr>
                <w:webHidden/>
              </w:rPr>
              <w:t>vii</w:t>
            </w:r>
            <w:r w:rsidR="00367663">
              <w:rPr>
                <w:webHidden/>
              </w:rPr>
              <w:fldChar w:fldCharType="end"/>
            </w:r>
          </w:hyperlink>
        </w:p>
        <w:p w14:paraId="396AAC74" w14:textId="55951F35" w:rsidR="00367663" w:rsidRDefault="001A683C">
          <w:pPr>
            <w:pStyle w:val="TOC2"/>
            <w:rPr>
              <w:rFonts w:asciiTheme="minorHAnsi" w:eastAsiaTheme="minorEastAsia" w:hAnsiTheme="minorHAnsi"/>
              <w:lang w:eastAsia="en-AU"/>
            </w:rPr>
          </w:pPr>
          <w:hyperlink w:anchor="_Toc131596819" w:history="1">
            <w:r w:rsidR="00367663" w:rsidRPr="00965776">
              <w:rPr>
                <w:rStyle w:val="Hyperlink"/>
              </w:rPr>
              <w:t>Objectives</w:t>
            </w:r>
            <w:r w:rsidR="00367663">
              <w:rPr>
                <w:webHidden/>
              </w:rPr>
              <w:tab/>
            </w:r>
            <w:r w:rsidR="00367663">
              <w:rPr>
                <w:webHidden/>
              </w:rPr>
              <w:fldChar w:fldCharType="begin"/>
            </w:r>
            <w:r w:rsidR="00367663">
              <w:rPr>
                <w:webHidden/>
              </w:rPr>
              <w:instrText xml:space="preserve"> PAGEREF _Toc131596819 \h </w:instrText>
            </w:r>
            <w:r w:rsidR="00367663">
              <w:rPr>
                <w:webHidden/>
              </w:rPr>
            </w:r>
            <w:r w:rsidR="00367663">
              <w:rPr>
                <w:webHidden/>
              </w:rPr>
              <w:fldChar w:fldCharType="separate"/>
            </w:r>
            <w:r w:rsidR="004A2435">
              <w:rPr>
                <w:webHidden/>
              </w:rPr>
              <w:t>vii</w:t>
            </w:r>
            <w:r w:rsidR="00367663">
              <w:rPr>
                <w:webHidden/>
              </w:rPr>
              <w:fldChar w:fldCharType="end"/>
            </w:r>
          </w:hyperlink>
        </w:p>
        <w:p w14:paraId="4C66AE17" w14:textId="75702117" w:rsidR="00367663" w:rsidRDefault="001A683C">
          <w:pPr>
            <w:pStyle w:val="TOC2"/>
            <w:rPr>
              <w:rFonts w:asciiTheme="minorHAnsi" w:eastAsiaTheme="minorEastAsia" w:hAnsiTheme="minorHAnsi"/>
              <w:lang w:eastAsia="en-AU"/>
            </w:rPr>
          </w:pPr>
          <w:hyperlink w:anchor="_Toc131596820" w:history="1">
            <w:r w:rsidR="00367663" w:rsidRPr="00965776">
              <w:rPr>
                <w:rStyle w:val="Hyperlink"/>
              </w:rPr>
              <w:t>Scope</w:t>
            </w:r>
            <w:r w:rsidR="00367663">
              <w:rPr>
                <w:webHidden/>
              </w:rPr>
              <w:tab/>
            </w:r>
            <w:r w:rsidR="00367663">
              <w:rPr>
                <w:webHidden/>
              </w:rPr>
              <w:fldChar w:fldCharType="begin"/>
            </w:r>
            <w:r w:rsidR="00367663">
              <w:rPr>
                <w:webHidden/>
              </w:rPr>
              <w:instrText xml:space="preserve"> PAGEREF _Toc131596820 \h </w:instrText>
            </w:r>
            <w:r w:rsidR="00367663">
              <w:rPr>
                <w:webHidden/>
              </w:rPr>
            </w:r>
            <w:r w:rsidR="00367663">
              <w:rPr>
                <w:webHidden/>
              </w:rPr>
              <w:fldChar w:fldCharType="separate"/>
            </w:r>
            <w:r w:rsidR="004A2435">
              <w:rPr>
                <w:webHidden/>
              </w:rPr>
              <w:t>vii</w:t>
            </w:r>
            <w:r w:rsidR="00367663">
              <w:rPr>
                <w:webHidden/>
              </w:rPr>
              <w:fldChar w:fldCharType="end"/>
            </w:r>
          </w:hyperlink>
        </w:p>
        <w:p w14:paraId="1A317AEE" w14:textId="7D631336" w:rsidR="00367663" w:rsidRDefault="001A683C">
          <w:pPr>
            <w:pStyle w:val="TOC2"/>
            <w:rPr>
              <w:rFonts w:asciiTheme="minorHAnsi" w:eastAsiaTheme="minorEastAsia" w:hAnsiTheme="minorHAnsi"/>
              <w:lang w:eastAsia="en-AU"/>
            </w:rPr>
          </w:pPr>
          <w:hyperlink w:anchor="_Toc131596821" w:history="1">
            <w:r w:rsidR="00367663" w:rsidRPr="00965776">
              <w:rPr>
                <w:rStyle w:val="Hyperlink"/>
              </w:rPr>
              <w:t>Out of scope</w:t>
            </w:r>
            <w:r w:rsidR="00367663">
              <w:rPr>
                <w:webHidden/>
              </w:rPr>
              <w:tab/>
            </w:r>
            <w:r w:rsidR="00367663">
              <w:rPr>
                <w:webHidden/>
              </w:rPr>
              <w:fldChar w:fldCharType="begin"/>
            </w:r>
            <w:r w:rsidR="00367663">
              <w:rPr>
                <w:webHidden/>
              </w:rPr>
              <w:instrText xml:space="preserve"> PAGEREF _Toc131596821 \h </w:instrText>
            </w:r>
            <w:r w:rsidR="00367663">
              <w:rPr>
                <w:webHidden/>
              </w:rPr>
            </w:r>
            <w:r w:rsidR="00367663">
              <w:rPr>
                <w:webHidden/>
              </w:rPr>
              <w:fldChar w:fldCharType="separate"/>
            </w:r>
            <w:r w:rsidR="004A2435">
              <w:rPr>
                <w:webHidden/>
              </w:rPr>
              <w:t>vii</w:t>
            </w:r>
            <w:r w:rsidR="00367663">
              <w:rPr>
                <w:webHidden/>
              </w:rPr>
              <w:fldChar w:fldCharType="end"/>
            </w:r>
          </w:hyperlink>
        </w:p>
        <w:p w14:paraId="7745B661" w14:textId="55C34A9F" w:rsidR="00367663" w:rsidRDefault="001A683C">
          <w:pPr>
            <w:pStyle w:val="TOC2"/>
            <w:rPr>
              <w:rFonts w:asciiTheme="minorHAnsi" w:eastAsiaTheme="minorEastAsia" w:hAnsiTheme="minorHAnsi"/>
              <w:lang w:eastAsia="en-AU"/>
            </w:rPr>
          </w:pPr>
          <w:hyperlink w:anchor="_Toc131596822" w:history="1">
            <w:r w:rsidR="00367663" w:rsidRPr="00965776">
              <w:rPr>
                <w:rStyle w:val="Hyperlink"/>
              </w:rPr>
              <w:t>Methodology</w:t>
            </w:r>
            <w:r w:rsidR="00367663">
              <w:rPr>
                <w:webHidden/>
              </w:rPr>
              <w:tab/>
            </w:r>
            <w:r w:rsidR="00367663">
              <w:rPr>
                <w:webHidden/>
              </w:rPr>
              <w:fldChar w:fldCharType="begin"/>
            </w:r>
            <w:r w:rsidR="00367663">
              <w:rPr>
                <w:webHidden/>
              </w:rPr>
              <w:instrText xml:space="preserve"> PAGEREF _Toc131596822 \h </w:instrText>
            </w:r>
            <w:r w:rsidR="00367663">
              <w:rPr>
                <w:webHidden/>
              </w:rPr>
            </w:r>
            <w:r w:rsidR="00367663">
              <w:rPr>
                <w:webHidden/>
              </w:rPr>
              <w:fldChar w:fldCharType="separate"/>
            </w:r>
            <w:r w:rsidR="004A2435">
              <w:rPr>
                <w:webHidden/>
              </w:rPr>
              <w:t>vii</w:t>
            </w:r>
            <w:r w:rsidR="00367663">
              <w:rPr>
                <w:webHidden/>
              </w:rPr>
              <w:fldChar w:fldCharType="end"/>
            </w:r>
          </w:hyperlink>
        </w:p>
        <w:p w14:paraId="487290BD" w14:textId="2540DFEB" w:rsidR="00367663" w:rsidRDefault="001A683C">
          <w:pPr>
            <w:pStyle w:val="TOC1"/>
            <w:rPr>
              <w:rFonts w:asciiTheme="minorHAnsi" w:eastAsiaTheme="minorEastAsia" w:hAnsiTheme="minorHAnsi"/>
              <w:b w:val="0"/>
              <w:lang w:eastAsia="en-AU"/>
            </w:rPr>
          </w:pPr>
          <w:hyperlink w:anchor="_Toc131596823" w:history="1">
            <w:r w:rsidR="00367663" w:rsidRPr="00965776">
              <w:rPr>
                <w:rStyle w:val="Hyperlink"/>
              </w:rPr>
              <w:t>Recommendations and department responses</w:t>
            </w:r>
            <w:r w:rsidR="00367663">
              <w:rPr>
                <w:webHidden/>
              </w:rPr>
              <w:tab/>
            </w:r>
            <w:r w:rsidR="00367663">
              <w:rPr>
                <w:webHidden/>
              </w:rPr>
              <w:fldChar w:fldCharType="begin"/>
            </w:r>
            <w:r w:rsidR="00367663">
              <w:rPr>
                <w:webHidden/>
              </w:rPr>
              <w:instrText xml:space="preserve"> PAGEREF _Toc131596823 \h </w:instrText>
            </w:r>
            <w:r w:rsidR="00367663">
              <w:rPr>
                <w:webHidden/>
              </w:rPr>
            </w:r>
            <w:r w:rsidR="00367663">
              <w:rPr>
                <w:webHidden/>
              </w:rPr>
              <w:fldChar w:fldCharType="separate"/>
            </w:r>
            <w:r w:rsidR="004A2435">
              <w:rPr>
                <w:webHidden/>
              </w:rPr>
              <w:t>ix</w:t>
            </w:r>
            <w:r w:rsidR="00367663">
              <w:rPr>
                <w:webHidden/>
              </w:rPr>
              <w:fldChar w:fldCharType="end"/>
            </w:r>
          </w:hyperlink>
        </w:p>
        <w:p w14:paraId="6E2772E8" w14:textId="20983057" w:rsidR="00367663" w:rsidRDefault="001A683C">
          <w:pPr>
            <w:pStyle w:val="TOC1"/>
            <w:rPr>
              <w:rFonts w:asciiTheme="minorHAnsi" w:eastAsiaTheme="minorEastAsia" w:hAnsiTheme="minorHAnsi"/>
              <w:b w:val="0"/>
              <w:lang w:eastAsia="en-AU"/>
            </w:rPr>
          </w:pPr>
          <w:hyperlink w:anchor="_Toc131596824" w:history="1">
            <w:r w:rsidR="00367663" w:rsidRPr="00965776">
              <w:rPr>
                <w:rStyle w:val="Hyperlink"/>
              </w:rPr>
              <w:t>Introduction</w:t>
            </w:r>
            <w:r w:rsidR="00367663">
              <w:rPr>
                <w:webHidden/>
              </w:rPr>
              <w:tab/>
            </w:r>
            <w:r w:rsidR="00367663">
              <w:rPr>
                <w:webHidden/>
              </w:rPr>
              <w:fldChar w:fldCharType="begin"/>
            </w:r>
            <w:r w:rsidR="00367663">
              <w:rPr>
                <w:webHidden/>
              </w:rPr>
              <w:instrText xml:space="preserve"> PAGEREF _Toc131596824 \h </w:instrText>
            </w:r>
            <w:r w:rsidR="00367663">
              <w:rPr>
                <w:webHidden/>
              </w:rPr>
            </w:r>
            <w:r w:rsidR="00367663">
              <w:rPr>
                <w:webHidden/>
              </w:rPr>
              <w:fldChar w:fldCharType="separate"/>
            </w:r>
            <w:r w:rsidR="004A2435">
              <w:rPr>
                <w:webHidden/>
              </w:rPr>
              <w:t>2</w:t>
            </w:r>
            <w:r w:rsidR="00367663">
              <w:rPr>
                <w:webHidden/>
              </w:rPr>
              <w:fldChar w:fldCharType="end"/>
            </w:r>
          </w:hyperlink>
        </w:p>
        <w:p w14:paraId="7A701CB9" w14:textId="08F7E9B5" w:rsidR="00367663" w:rsidRDefault="001A683C">
          <w:pPr>
            <w:pStyle w:val="TOC1"/>
            <w:rPr>
              <w:rFonts w:asciiTheme="minorHAnsi" w:eastAsiaTheme="minorEastAsia" w:hAnsiTheme="minorHAnsi"/>
              <w:b w:val="0"/>
              <w:lang w:eastAsia="en-AU"/>
            </w:rPr>
          </w:pPr>
          <w:hyperlink w:anchor="_Toc131596825" w:history="1">
            <w:r w:rsidR="00367663" w:rsidRPr="00965776">
              <w:rPr>
                <w:rStyle w:val="Hyperlink"/>
              </w:rPr>
              <w:t>1</w:t>
            </w:r>
            <w:r w:rsidR="00367663">
              <w:rPr>
                <w:rFonts w:asciiTheme="minorHAnsi" w:eastAsiaTheme="minorEastAsia" w:hAnsiTheme="minorHAnsi"/>
                <w:b w:val="0"/>
                <w:lang w:eastAsia="en-AU"/>
              </w:rPr>
              <w:tab/>
            </w:r>
            <w:r w:rsidR="00367663" w:rsidRPr="00965776">
              <w:rPr>
                <w:rStyle w:val="Hyperlink"/>
              </w:rPr>
              <w:t>Engagement and communication</w:t>
            </w:r>
            <w:r w:rsidR="00367663">
              <w:rPr>
                <w:webHidden/>
              </w:rPr>
              <w:tab/>
            </w:r>
            <w:r w:rsidR="00367663">
              <w:rPr>
                <w:webHidden/>
              </w:rPr>
              <w:fldChar w:fldCharType="begin"/>
            </w:r>
            <w:r w:rsidR="00367663">
              <w:rPr>
                <w:webHidden/>
              </w:rPr>
              <w:instrText xml:space="preserve"> PAGEREF _Toc131596825 \h </w:instrText>
            </w:r>
            <w:r w:rsidR="00367663">
              <w:rPr>
                <w:webHidden/>
              </w:rPr>
            </w:r>
            <w:r w:rsidR="00367663">
              <w:rPr>
                <w:webHidden/>
              </w:rPr>
              <w:fldChar w:fldCharType="separate"/>
            </w:r>
            <w:r w:rsidR="004A2435">
              <w:rPr>
                <w:webHidden/>
              </w:rPr>
              <w:t>3</w:t>
            </w:r>
            <w:r w:rsidR="00367663">
              <w:rPr>
                <w:webHidden/>
              </w:rPr>
              <w:fldChar w:fldCharType="end"/>
            </w:r>
          </w:hyperlink>
        </w:p>
        <w:p w14:paraId="3A0ADB85" w14:textId="4D787F5A" w:rsidR="00367663" w:rsidRDefault="001A683C">
          <w:pPr>
            <w:pStyle w:val="TOC2"/>
            <w:tabs>
              <w:tab w:val="left" w:pos="1100"/>
            </w:tabs>
            <w:rPr>
              <w:rFonts w:asciiTheme="minorHAnsi" w:eastAsiaTheme="minorEastAsia" w:hAnsiTheme="minorHAnsi"/>
              <w:lang w:eastAsia="en-AU"/>
            </w:rPr>
          </w:pPr>
          <w:hyperlink w:anchor="_Toc131596826" w:history="1">
            <w:r w:rsidR="00367663" w:rsidRPr="00965776">
              <w:rPr>
                <w:rStyle w:val="Hyperlink"/>
              </w:rPr>
              <w:t>1.1</w:t>
            </w:r>
            <w:r w:rsidR="00367663">
              <w:rPr>
                <w:rFonts w:asciiTheme="minorHAnsi" w:eastAsiaTheme="minorEastAsia" w:hAnsiTheme="minorHAnsi"/>
                <w:lang w:eastAsia="en-AU"/>
              </w:rPr>
              <w:tab/>
            </w:r>
            <w:r w:rsidR="00367663" w:rsidRPr="00965776">
              <w:rPr>
                <w:rStyle w:val="Hyperlink"/>
              </w:rPr>
              <w:t>Communications and engagement policy</w:t>
            </w:r>
            <w:r w:rsidR="00367663">
              <w:rPr>
                <w:webHidden/>
              </w:rPr>
              <w:tab/>
            </w:r>
            <w:r w:rsidR="00367663">
              <w:rPr>
                <w:webHidden/>
              </w:rPr>
              <w:fldChar w:fldCharType="begin"/>
            </w:r>
            <w:r w:rsidR="00367663">
              <w:rPr>
                <w:webHidden/>
              </w:rPr>
              <w:instrText xml:space="preserve"> PAGEREF _Toc131596826 \h </w:instrText>
            </w:r>
            <w:r w:rsidR="00367663">
              <w:rPr>
                <w:webHidden/>
              </w:rPr>
            </w:r>
            <w:r w:rsidR="00367663">
              <w:rPr>
                <w:webHidden/>
              </w:rPr>
              <w:fldChar w:fldCharType="separate"/>
            </w:r>
            <w:r w:rsidR="004A2435">
              <w:rPr>
                <w:webHidden/>
              </w:rPr>
              <w:t>3</w:t>
            </w:r>
            <w:r w:rsidR="00367663">
              <w:rPr>
                <w:webHidden/>
              </w:rPr>
              <w:fldChar w:fldCharType="end"/>
            </w:r>
          </w:hyperlink>
        </w:p>
        <w:p w14:paraId="4D944FF6" w14:textId="668D71AC" w:rsidR="00367663" w:rsidRDefault="001A683C">
          <w:pPr>
            <w:pStyle w:val="TOC2"/>
            <w:tabs>
              <w:tab w:val="left" w:pos="1100"/>
            </w:tabs>
            <w:rPr>
              <w:rFonts w:asciiTheme="minorHAnsi" w:eastAsiaTheme="minorEastAsia" w:hAnsiTheme="minorHAnsi"/>
              <w:lang w:eastAsia="en-AU"/>
            </w:rPr>
          </w:pPr>
          <w:hyperlink w:anchor="_Toc131596827" w:history="1">
            <w:r w:rsidR="00367663" w:rsidRPr="00965776">
              <w:rPr>
                <w:rStyle w:val="Hyperlink"/>
              </w:rPr>
              <w:t>1.2</w:t>
            </w:r>
            <w:r w:rsidR="00367663">
              <w:rPr>
                <w:rFonts w:asciiTheme="minorHAnsi" w:eastAsiaTheme="minorEastAsia" w:hAnsiTheme="minorHAnsi"/>
                <w:lang w:eastAsia="en-AU"/>
              </w:rPr>
              <w:tab/>
            </w:r>
            <w:r w:rsidR="00367663" w:rsidRPr="00965776">
              <w:rPr>
                <w:rStyle w:val="Hyperlink"/>
              </w:rPr>
              <w:t>Communication</w:t>
            </w:r>
            <w:r w:rsidR="00367663">
              <w:rPr>
                <w:webHidden/>
              </w:rPr>
              <w:tab/>
            </w:r>
            <w:r w:rsidR="00367663">
              <w:rPr>
                <w:webHidden/>
              </w:rPr>
              <w:fldChar w:fldCharType="begin"/>
            </w:r>
            <w:r w:rsidR="00367663">
              <w:rPr>
                <w:webHidden/>
              </w:rPr>
              <w:instrText xml:space="preserve"> PAGEREF _Toc131596827 \h </w:instrText>
            </w:r>
            <w:r w:rsidR="00367663">
              <w:rPr>
                <w:webHidden/>
              </w:rPr>
            </w:r>
            <w:r w:rsidR="00367663">
              <w:rPr>
                <w:webHidden/>
              </w:rPr>
              <w:fldChar w:fldCharType="separate"/>
            </w:r>
            <w:r w:rsidR="004A2435">
              <w:rPr>
                <w:webHidden/>
              </w:rPr>
              <w:t>3</w:t>
            </w:r>
            <w:r w:rsidR="00367663">
              <w:rPr>
                <w:webHidden/>
              </w:rPr>
              <w:fldChar w:fldCharType="end"/>
            </w:r>
          </w:hyperlink>
        </w:p>
        <w:p w14:paraId="4DCC779E" w14:textId="783BCE34" w:rsidR="00367663" w:rsidRDefault="001A683C">
          <w:pPr>
            <w:pStyle w:val="TOC2"/>
            <w:tabs>
              <w:tab w:val="left" w:pos="1100"/>
            </w:tabs>
            <w:rPr>
              <w:rFonts w:asciiTheme="minorHAnsi" w:eastAsiaTheme="minorEastAsia" w:hAnsiTheme="minorHAnsi"/>
              <w:lang w:eastAsia="en-AU"/>
            </w:rPr>
          </w:pPr>
          <w:hyperlink w:anchor="_Toc131596828" w:history="1">
            <w:r w:rsidR="00367663" w:rsidRPr="00965776">
              <w:rPr>
                <w:rStyle w:val="Hyperlink"/>
              </w:rPr>
              <w:t>1.3</w:t>
            </w:r>
            <w:r w:rsidR="00367663">
              <w:rPr>
                <w:rFonts w:asciiTheme="minorHAnsi" w:eastAsiaTheme="minorEastAsia" w:hAnsiTheme="minorHAnsi"/>
                <w:lang w:eastAsia="en-AU"/>
              </w:rPr>
              <w:tab/>
            </w:r>
            <w:r w:rsidR="00367663" w:rsidRPr="00965776">
              <w:rPr>
                <w:rStyle w:val="Hyperlink"/>
              </w:rPr>
              <w:t>External guidance material and training</w:t>
            </w:r>
            <w:r w:rsidR="00367663">
              <w:rPr>
                <w:webHidden/>
              </w:rPr>
              <w:tab/>
            </w:r>
            <w:r w:rsidR="00367663">
              <w:rPr>
                <w:webHidden/>
              </w:rPr>
              <w:fldChar w:fldCharType="begin"/>
            </w:r>
            <w:r w:rsidR="00367663">
              <w:rPr>
                <w:webHidden/>
              </w:rPr>
              <w:instrText xml:space="preserve"> PAGEREF _Toc131596828 \h </w:instrText>
            </w:r>
            <w:r w:rsidR="00367663">
              <w:rPr>
                <w:webHidden/>
              </w:rPr>
            </w:r>
            <w:r w:rsidR="00367663">
              <w:rPr>
                <w:webHidden/>
              </w:rPr>
              <w:fldChar w:fldCharType="separate"/>
            </w:r>
            <w:r w:rsidR="004A2435">
              <w:rPr>
                <w:webHidden/>
              </w:rPr>
              <w:t>4</w:t>
            </w:r>
            <w:r w:rsidR="00367663">
              <w:rPr>
                <w:webHidden/>
              </w:rPr>
              <w:fldChar w:fldCharType="end"/>
            </w:r>
          </w:hyperlink>
        </w:p>
        <w:p w14:paraId="3815CDC7" w14:textId="47608C53" w:rsidR="00367663" w:rsidRDefault="001A683C">
          <w:pPr>
            <w:pStyle w:val="TOC2"/>
            <w:tabs>
              <w:tab w:val="left" w:pos="1100"/>
            </w:tabs>
            <w:rPr>
              <w:rFonts w:asciiTheme="minorHAnsi" w:eastAsiaTheme="minorEastAsia" w:hAnsiTheme="minorHAnsi"/>
              <w:lang w:eastAsia="en-AU"/>
            </w:rPr>
          </w:pPr>
          <w:hyperlink w:anchor="_Toc131596829" w:history="1">
            <w:r w:rsidR="00367663" w:rsidRPr="00965776">
              <w:rPr>
                <w:rStyle w:val="Hyperlink"/>
              </w:rPr>
              <w:t>1.4</w:t>
            </w:r>
            <w:r w:rsidR="00367663">
              <w:rPr>
                <w:rFonts w:asciiTheme="minorHAnsi" w:eastAsiaTheme="minorEastAsia" w:hAnsiTheme="minorHAnsi"/>
                <w:lang w:eastAsia="en-AU"/>
              </w:rPr>
              <w:tab/>
            </w:r>
            <w:r w:rsidR="00367663" w:rsidRPr="00965776">
              <w:rPr>
                <w:rStyle w:val="Hyperlink"/>
              </w:rPr>
              <w:t>Consultation</w:t>
            </w:r>
            <w:r w:rsidR="00367663">
              <w:rPr>
                <w:webHidden/>
              </w:rPr>
              <w:tab/>
            </w:r>
            <w:r w:rsidR="00367663">
              <w:rPr>
                <w:webHidden/>
              </w:rPr>
              <w:fldChar w:fldCharType="begin"/>
            </w:r>
            <w:r w:rsidR="00367663">
              <w:rPr>
                <w:webHidden/>
              </w:rPr>
              <w:instrText xml:space="preserve"> PAGEREF _Toc131596829 \h </w:instrText>
            </w:r>
            <w:r w:rsidR="00367663">
              <w:rPr>
                <w:webHidden/>
              </w:rPr>
            </w:r>
            <w:r w:rsidR="00367663">
              <w:rPr>
                <w:webHidden/>
              </w:rPr>
              <w:fldChar w:fldCharType="separate"/>
            </w:r>
            <w:r w:rsidR="004A2435">
              <w:rPr>
                <w:webHidden/>
              </w:rPr>
              <w:t>5</w:t>
            </w:r>
            <w:r w:rsidR="00367663">
              <w:rPr>
                <w:webHidden/>
              </w:rPr>
              <w:fldChar w:fldCharType="end"/>
            </w:r>
          </w:hyperlink>
        </w:p>
        <w:p w14:paraId="37841BEB" w14:textId="7C425D58" w:rsidR="00367663" w:rsidRDefault="001A683C">
          <w:pPr>
            <w:pStyle w:val="TOC2"/>
            <w:tabs>
              <w:tab w:val="left" w:pos="1100"/>
            </w:tabs>
            <w:rPr>
              <w:rFonts w:asciiTheme="minorHAnsi" w:eastAsiaTheme="minorEastAsia" w:hAnsiTheme="minorHAnsi"/>
              <w:lang w:eastAsia="en-AU"/>
            </w:rPr>
          </w:pPr>
          <w:hyperlink w:anchor="_Toc131596830" w:history="1">
            <w:r w:rsidR="00367663" w:rsidRPr="00965776">
              <w:rPr>
                <w:rStyle w:val="Hyperlink"/>
              </w:rPr>
              <w:t>1.5</w:t>
            </w:r>
            <w:r w:rsidR="00367663">
              <w:rPr>
                <w:rFonts w:asciiTheme="minorHAnsi" w:eastAsiaTheme="minorEastAsia" w:hAnsiTheme="minorHAnsi"/>
                <w:lang w:eastAsia="en-AU"/>
              </w:rPr>
              <w:tab/>
            </w:r>
            <w:r w:rsidR="00367663" w:rsidRPr="00965776">
              <w:rPr>
                <w:rStyle w:val="Hyperlink"/>
              </w:rPr>
              <w:t>Collaboration</w:t>
            </w:r>
            <w:r w:rsidR="00367663">
              <w:rPr>
                <w:webHidden/>
              </w:rPr>
              <w:tab/>
            </w:r>
            <w:r w:rsidR="00367663">
              <w:rPr>
                <w:webHidden/>
              </w:rPr>
              <w:fldChar w:fldCharType="begin"/>
            </w:r>
            <w:r w:rsidR="00367663">
              <w:rPr>
                <w:webHidden/>
              </w:rPr>
              <w:instrText xml:space="preserve"> PAGEREF _Toc131596830 \h </w:instrText>
            </w:r>
            <w:r w:rsidR="00367663">
              <w:rPr>
                <w:webHidden/>
              </w:rPr>
            </w:r>
            <w:r w:rsidR="00367663">
              <w:rPr>
                <w:webHidden/>
              </w:rPr>
              <w:fldChar w:fldCharType="separate"/>
            </w:r>
            <w:r w:rsidR="004A2435">
              <w:rPr>
                <w:webHidden/>
              </w:rPr>
              <w:t>6</w:t>
            </w:r>
            <w:r w:rsidR="00367663">
              <w:rPr>
                <w:webHidden/>
              </w:rPr>
              <w:fldChar w:fldCharType="end"/>
            </w:r>
          </w:hyperlink>
        </w:p>
        <w:p w14:paraId="622FCAEE" w14:textId="48C2BB6C" w:rsidR="00367663" w:rsidRDefault="001A683C">
          <w:pPr>
            <w:pStyle w:val="TOC2"/>
            <w:tabs>
              <w:tab w:val="left" w:pos="1100"/>
            </w:tabs>
            <w:rPr>
              <w:rFonts w:asciiTheme="minorHAnsi" w:eastAsiaTheme="minorEastAsia" w:hAnsiTheme="minorHAnsi"/>
              <w:lang w:eastAsia="en-AU"/>
            </w:rPr>
          </w:pPr>
          <w:hyperlink w:anchor="_Toc131596831" w:history="1">
            <w:r w:rsidR="00367663" w:rsidRPr="00965776">
              <w:rPr>
                <w:rStyle w:val="Hyperlink"/>
              </w:rPr>
              <w:t>1.6</w:t>
            </w:r>
            <w:r w:rsidR="00367663">
              <w:rPr>
                <w:rFonts w:asciiTheme="minorHAnsi" w:eastAsiaTheme="minorEastAsia" w:hAnsiTheme="minorHAnsi"/>
                <w:lang w:eastAsia="en-AU"/>
              </w:rPr>
              <w:tab/>
            </w:r>
            <w:r w:rsidR="00367663" w:rsidRPr="00965776">
              <w:rPr>
                <w:rStyle w:val="Hyperlink"/>
              </w:rPr>
              <w:t>Observations and findings</w:t>
            </w:r>
            <w:r w:rsidR="00367663">
              <w:rPr>
                <w:webHidden/>
              </w:rPr>
              <w:tab/>
            </w:r>
            <w:r w:rsidR="00367663">
              <w:rPr>
                <w:webHidden/>
              </w:rPr>
              <w:fldChar w:fldCharType="begin"/>
            </w:r>
            <w:r w:rsidR="00367663">
              <w:rPr>
                <w:webHidden/>
              </w:rPr>
              <w:instrText xml:space="preserve"> PAGEREF _Toc131596831 \h </w:instrText>
            </w:r>
            <w:r w:rsidR="00367663">
              <w:rPr>
                <w:webHidden/>
              </w:rPr>
            </w:r>
            <w:r w:rsidR="00367663">
              <w:rPr>
                <w:webHidden/>
              </w:rPr>
              <w:fldChar w:fldCharType="separate"/>
            </w:r>
            <w:r w:rsidR="004A2435">
              <w:rPr>
                <w:webHidden/>
              </w:rPr>
              <w:t>7</w:t>
            </w:r>
            <w:r w:rsidR="00367663">
              <w:rPr>
                <w:webHidden/>
              </w:rPr>
              <w:fldChar w:fldCharType="end"/>
            </w:r>
          </w:hyperlink>
        </w:p>
        <w:p w14:paraId="5E88EE04" w14:textId="2FA34E88" w:rsidR="00367663" w:rsidRDefault="001A683C">
          <w:pPr>
            <w:pStyle w:val="TOC1"/>
            <w:rPr>
              <w:rFonts w:asciiTheme="minorHAnsi" w:eastAsiaTheme="minorEastAsia" w:hAnsiTheme="minorHAnsi"/>
              <w:b w:val="0"/>
              <w:lang w:eastAsia="en-AU"/>
            </w:rPr>
          </w:pPr>
          <w:hyperlink w:anchor="_Toc131596832" w:history="1">
            <w:r w:rsidR="00367663" w:rsidRPr="00965776">
              <w:rPr>
                <w:rStyle w:val="Hyperlink"/>
              </w:rPr>
              <w:t>2</w:t>
            </w:r>
            <w:r w:rsidR="00367663">
              <w:rPr>
                <w:rFonts w:asciiTheme="minorHAnsi" w:eastAsiaTheme="minorEastAsia" w:hAnsiTheme="minorHAnsi"/>
                <w:b w:val="0"/>
                <w:lang w:eastAsia="en-AU"/>
              </w:rPr>
              <w:tab/>
            </w:r>
            <w:r w:rsidR="00367663" w:rsidRPr="00965776">
              <w:rPr>
                <w:rStyle w:val="Hyperlink"/>
              </w:rPr>
              <w:t>Reporting and transparency</w:t>
            </w:r>
            <w:r w:rsidR="00367663">
              <w:rPr>
                <w:webHidden/>
              </w:rPr>
              <w:tab/>
            </w:r>
            <w:r w:rsidR="00367663">
              <w:rPr>
                <w:webHidden/>
              </w:rPr>
              <w:fldChar w:fldCharType="begin"/>
            </w:r>
            <w:r w:rsidR="00367663">
              <w:rPr>
                <w:webHidden/>
              </w:rPr>
              <w:instrText xml:space="preserve"> PAGEREF _Toc131596832 \h </w:instrText>
            </w:r>
            <w:r w:rsidR="00367663">
              <w:rPr>
                <w:webHidden/>
              </w:rPr>
            </w:r>
            <w:r w:rsidR="00367663">
              <w:rPr>
                <w:webHidden/>
              </w:rPr>
              <w:fldChar w:fldCharType="separate"/>
            </w:r>
            <w:r w:rsidR="004A2435">
              <w:rPr>
                <w:webHidden/>
              </w:rPr>
              <w:t>11</w:t>
            </w:r>
            <w:r w:rsidR="00367663">
              <w:rPr>
                <w:webHidden/>
              </w:rPr>
              <w:fldChar w:fldCharType="end"/>
            </w:r>
          </w:hyperlink>
        </w:p>
        <w:p w14:paraId="461FFC53" w14:textId="0AED5B46" w:rsidR="00367663" w:rsidRDefault="001A683C">
          <w:pPr>
            <w:pStyle w:val="TOC2"/>
            <w:tabs>
              <w:tab w:val="left" w:pos="1100"/>
            </w:tabs>
            <w:rPr>
              <w:rFonts w:asciiTheme="minorHAnsi" w:eastAsiaTheme="minorEastAsia" w:hAnsiTheme="minorHAnsi"/>
              <w:lang w:eastAsia="en-AU"/>
            </w:rPr>
          </w:pPr>
          <w:hyperlink w:anchor="_Toc131596833" w:history="1">
            <w:r w:rsidR="00367663" w:rsidRPr="00965776">
              <w:rPr>
                <w:rStyle w:val="Hyperlink"/>
              </w:rPr>
              <w:t>2.1</w:t>
            </w:r>
            <w:r w:rsidR="00367663">
              <w:rPr>
                <w:rFonts w:asciiTheme="minorHAnsi" w:eastAsiaTheme="minorEastAsia" w:hAnsiTheme="minorHAnsi"/>
                <w:lang w:eastAsia="en-AU"/>
              </w:rPr>
              <w:tab/>
            </w:r>
            <w:r w:rsidR="00367663" w:rsidRPr="00965776">
              <w:rPr>
                <w:rStyle w:val="Hyperlink"/>
              </w:rPr>
              <w:t>Exporter Supply Chain Assurance System</w:t>
            </w:r>
            <w:r w:rsidR="00367663">
              <w:rPr>
                <w:webHidden/>
              </w:rPr>
              <w:tab/>
            </w:r>
            <w:r w:rsidR="00367663">
              <w:rPr>
                <w:webHidden/>
              </w:rPr>
              <w:fldChar w:fldCharType="begin"/>
            </w:r>
            <w:r w:rsidR="00367663">
              <w:rPr>
                <w:webHidden/>
              </w:rPr>
              <w:instrText xml:space="preserve"> PAGEREF _Toc131596833 \h </w:instrText>
            </w:r>
            <w:r w:rsidR="00367663">
              <w:rPr>
                <w:webHidden/>
              </w:rPr>
            </w:r>
            <w:r w:rsidR="00367663">
              <w:rPr>
                <w:webHidden/>
              </w:rPr>
              <w:fldChar w:fldCharType="separate"/>
            </w:r>
            <w:r w:rsidR="004A2435">
              <w:rPr>
                <w:webHidden/>
              </w:rPr>
              <w:t>11</w:t>
            </w:r>
            <w:r w:rsidR="00367663">
              <w:rPr>
                <w:webHidden/>
              </w:rPr>
              <w:fldChar w:fldCharType="end"/>
            </w:r>
          </w:hyperlink>
        </w:p>
        <w:p w14:paraId="541FD311" w14:textId="1AFC654C" w:rsidR="00367663" w:rsidRDefault="001A683C">
          <w:pPr>
            <w:pStyle w:val="TOC2"/>
            <w:tabs>
              <w:tab w:val="left" w:pos="1100"/>
            </w:tabs>
            <w:rPr>
              <w:rFonts w:asciiTheme="minorHAnsi" w:eastAsiaTheme="minorEastAsia" w:hAnsiTheme="minorHAnsi"/>
              <w:lang w:eastAsia="en-AU"/>
            </w:rPr>
          </w:pPr>
          <w:hyperlink w:anchor="_Toc131596834" w:history="1">
            <w:r w:rsidR="00367663" w:rsidRPr="00965776">
              <w:rPr>
                <w:rStyle w:val="Hyperlink"/>
              </w:rPr>
              <w:t>2.2</w:t>
            </w:r>
            <w:r w:rsidR="00367663">
              <w:rPr>
                <w:rFonts w:asciiTheme="minorHAnsi" w:eastAsiaTheme="minorEastAsia" w:hAnsiTheme="minorHAnsi"/>
                <w:lang w:eastAsia="en-AU"/>
              </w:rPr>
              <w:tab/>
            </w:r>
            <w:r w:rsidR="00367663" w:rsidRPr="00965776">
              <w:rPr>
                <w:rStyle w:val="Hyperlink"/>
              </w:rPr>
              <w:t>Independent observer reports</w:t>
            </w:r>
            <w:r w:rsidR="00367663">
              <w:rPr>
                <w:webHidden/>
              </w:rPr>
              <w:tab/>
            </w:r>
            <w:r w:rsidR="00367663">
              <w:rPr>
                <w:webHidden/>
              </w:rPr>
              <w:fldChar w:fldCharType="begin"/>
            </w:r>
            <w:r w:rsidR="00367663">
              <w:rPr>
                <w:webHidden/>
              </w:rPr>
              <w:instrText xml:space="preserve"> PAGEREF _Toc131596834 \h </w:instrText>
            </w:r>
            <w:r w:rsidR="00367663">
              <w:rPr>
                <w:webHidden/>
              </w:rPr>
            </w:r>
            <w:r w:rsidR="00367663">
              <w:rPr>
                <w:webHidden/>
              </w:rPr>
              <w:fldChar w:fldCharType="separate"/>
            </w:r>
            <w:r w:rsidR="004A2435">
              <w:rPr>
                <w:webHidden/>
              </w:rPr>
              <w:t>11</w:t>
            </w:r>
            <w:r w:rsidR="00367663">
              <w:rPr>
                <w:webHidden/>
              </w:rPr>
              <w:fldChar w:fldCharType="end"/>
            </w:r>
          </w:hyperlink>
        </w:p>
        <w:p w14:paraId="63F127FD" w14:textId="6BC259F3" w:rsidR="00367663" w:rsidRDefault="001A683C">
          <w:pPr>
            <w:pStyle w:val="TOC2"/>
            <w:tabs>
              <w:tab w:val="left" w:pos="1100"/>
            </w:tabs>
            <w:rPr>
              <w:rFonts w:asciiTheme="minorHAnsi" w:eastAsiaTheme="minorEastAsia" w:hAnsiTheme="minorHAnsi"/>
              <w:lang w:eastAsia="en-AU"/>
            </w:rPr>
          </w:pPr>
          <w:hyperlink w:anchor="_Toc131596835" w:history="1">
            <w:r w:rsidR="00367663" w:rsidRPr="00965776">
              <w:rPr>
                <w:rStyle w:val="Hyperlink"/>
              </w:rPr>
              <w:t>2.3</w:t>
            </w:r>
            <w:r w:rsidR="00367663">
              <w:rPr>
                <w:rFonts w:asciiTheme="minorHAnsi" w:eastAsiaTheme="minorEastAsia" w:hAnsiTheme="minorHAnsi"/>
                <w:lang w:eastAsia="en-AU"/>
              </w:rPr>
              <w:tab/>
            </w:r>
            <w:r w:rsidR="00367663" w:rsidRPr="00965776">
              <w:rPr>
                <w:rStyle w:val="Hyperlink"/>
              </w:rPr>
              <w:t>End of journey and voyage reports</w:t>
            </w:r>
            <w:r w:rsidR="00367663">
              <w:rPr>
                <w:webHidden/>
              </w:rPr>
              <w:tab/>
            </w:r>
            <w:r w:rsidR="00367663">
              <w:rPr>
                <w:webHidden/>
              </w:rPr>
              <w:fldChar w:fldCharType="begin"/>
            </w:r>
            <w:r w:rsidR="00367663">
              <w:rPr>
                <w:webHidden/>
              </w:rPr>
              <w:instrText xml:space="preserve"> PAGEREF _Toc131596835 \h </w:instrText>
            </w:r>
            <w:r w:rsidR="00367663">
              <w:rPr>
                <w:webHidden/>
              </w:rPr>
            </w:r>
            <w:r w:rsidR="00367663">
              <w:rPr>
                <w:webHidden/>
              </w:rPr>
              <w:fldChar w:fldCharType="separate"/>
            </w:r>
            <w:r w:rsidR="004A2435">
              <w:rPr>
                <w:webHidden/>
              </w:rPr>
              <w:t>12</w:t>
            </w:r>
            <w:r w:rsidR="00367663">
              <w:rPr>
                <w:webHidden/>
              </w:rPr>
              <w:fldChar w:fldCharType="end"/>
            </w:r>
          </w:hyperlink>
        </w:p>
        <w:p w14:paraId="3597F592" w14:textId="4E4438A4" w:rsidR="00367663" w:rsidRDefault="001A683C">
          <w:pPr>
            <w:pStyle w:val="TOC2"/>
            <w:tabs>
              <w:tab w:val="left" w:pos="1100"/>
            </w:tabs>
            <w:rPr>
              <w:rFonts w:asciiTheme="minorHAnsi" w:eastAsiaTheme="minorEastAsia" w:hAnsiTheme="minorHAnsi"/>
              <w:lang w:eastAsia="en-AU"/>
            </w:rPr>
          </w:pPr>
          <w:hyperlink w:anchor="_Toc131596836" w:history="1">
            <w:r w:rsidR="00367663" w:rsidRPr="00965776">
              <w:rPr>
                <w:rStyle w:val="Hyperlink"/>
              </w:rPr>
              <w:t>2.4</w:t>
            </w:r>
            <w:r w:rsidR="00367663">
              <w:rPr>
                <w:rFonts w:asciiTheme="minorHAnsi" w:eastAsiaTheme="minorEastAsia" w:hAnsiTheme="minorHAnsi"/>
                <w:lang w:eastAsia="en-AU"/>
              </w:rPr>
              <w:tab/>
            </w:r>
            <w:r w:rsidR="00367663" w:rsidRPr="00965776">
              <w:rPr>
                <w:rStyle w:val="Hyperlink"/>
              </w:rPr>
              <w:t>Report to Parliament</w:t>
            </w:r>
            <w:r w:rsidR="00367663">
              <w:rPr>
                <w:webHidden/>
              </w:rPr>
              <w:tab/>
            </w:r>
            <w:r w:rsidR="00367663">
              <w:rPr>
                <w:webHidden/>
              </w:rPr>
              <w:fldChar w:fldCharType="begin"/>
            </w:r>
            <w:r w:rsidR="00367663">
              <w:rPr>
                <w:webHidden/>
              </w:rPr>
              <w:instrText xml:space="preserve"> PAGEREF _Toc131596836 \h </w:instrText>
            </w:r>
            <w:r w:rsidR="00367663">
              <w:rPr>
                <w:webHidden/>
              </w:rPr>
            </w:r>
            <w:r w:rsidR="00367663">
              <w:rPr>
                <w:webHidden/>
              </w:rPr>
              <w:fldChar w:fldCharType="separate"/>
            </w:r>
            <w:r w:rsidR="004A2435">
              <w:rPr>
                <w:webHidden/>
              </w:rPr>
              <w:t>13</w:t>
            </w:r>
            <w:r w:rsidR="00367663">
              <w:rPr>
                <w:webHidden/>
              </w:rPr>
              <w:fldChar w:fldCharType="end"/>
            </w:r>
          </w:hyperlink>
        </w:p>
        <w:p w14:paraId="21B4A1A8" w14:textId="1D9219A4" w:rsidR="00367663" w:rsidRDefault="001A683C">
          <w:pPr>
            <w:pStyle w:val="TOC2"/>
            <w:tabs>
              <w:tab w:val="left" w:pos="1100"/>
            </w:tabs>
            <w:rPr>
              <w:rFonts w:asciiTheme="minorHAnsi" w:eastAsiaTheme="minorEastAsia" w:hAnsiTheme="minorHAnsi"/>
              <w:lang w:eastAsia="en-AU"/>
            </w:rPr>
          </w:pPr>
          <w:hyperlink w:anchor="_Toc131596837" w:history="1">
            <w:r w:rsidR="00367663" w:rsidRPr="00965776">
              <w:rPr>
                <w:rStyle w:val="Hyperlink"/>
                <w:lang w:eastAsia="ja-JP"/>
              </w:rPr>
              <w:t>2.5</w:t>
            </w:r>
            <w:r w:rsidR="00367663">
              <w:rPr>
                <w:rFonts w:asciiTheme="minorHAnsi" w:eastAsiaTheme="minorEastAsia" w:hAnsiTheme="minorHAnsi"/>
                <w:lang w:eastAsia="en-AU"/>
              </w:rPr>
              <w:tab/>
            </w:r>
            <w:r w:rsidR="00367663" w:rsidRPr="00965776">
              <w:rPr>
                <w:rStyle w:val="Hyperlink"/>
                <w:lang w:eastAsia="ja-JP"/>
              </w:rPr>
              <w:t>Freedom of information</w:t>
            </w:r>
            <w:r w:rsidR="00367663">
              <w:rPr>
                <w:webHidden/>
              </w:rPr>
              <w:tab/>
            </w:r>
            <w:r w:rsidR="00367663">
              <w:rPr>
                <w:webHidden/>
              </w:rPr>
              <w:fldChar w:fldCharType="begin"/>
            </w:r>
            <w:r w:rsidR="00367663">
              <w:rPr>
                <w:webHidden/>
              </w:rPr>
              <w:instrText xml:space="preserve"> PAGEREF _Toc131596837 \h </w:instrText>
            </w:r>
            <w:r w:rsidR="00367663">
              <w:rPr>
                <w:webHidden/>
              </w:rPr>
            </w:r>
            <w:r w:rsidR="00367663">
              <w:rPr>
                <w:webHidden/>
              </w:rPr>
              <w:fldChar w:fldCharType="separate"/>
            </w:r>
            <w:r w:rsidR="004A2435">
              <w:rPr>
                <w:webHidden/>
              </w:rPr>
              <w:t>13</w:t>
            </w:r>
            <w:r w:rsidR="00367663">
              <w:rPr>
                <w:webHidden/>
              </w:rPr>
              <w:fldChar w:fldCharType="end"/>
            </w:r>
          </w:hyperlink>
        </w:p>
        <w:p w14:paraId="29AA65AD" w14:textId="3F508897" w:rsidR="00367663" w:rsidRDefault="001A683C">
          <w:pPr>
            <w:pStyle w:val="TOC2"/>
            <w:tabs>
              <w:tab w:val="left" w:pos="1100"/>
            </w:tabs>
            <w:rPr>
              <w:rFonts w:asciiTheme="minorHAnsi" w:eastAsiaTheme="minorEastAsia" w:hAnsiTheme="minorHAnsi"/>
              <w:lang w:eastAsia="en-AU"/>
            </w:rPr>
          </w:pPr>
          <w:hyperlink w:anchor="_Toc131596838" w:history="1">
            <w:r w:rsidR="00367663" w:rsidRPr="00965776">
              <w:rPr>
                <w:rStyle w:val="Hyperlink"/>
                <w:lang w:eastAsia="ja-JP"/>
              </w:rPr>
              <w:t>2.6</w:t>
            </w:r>
            <w:r w:rsidR="00367663">
              <w:rPr>
                <w:rFonts w:asciiTheme="minorHAnsi" w:eastAsiaTheme="minorEastAsia" w:hAnsiTheme="minorHAnsi"/>
                <w:lang w:eastAsia="en-AU"/>
              </w:rPr>
              <w:tab/>
            </w:r>
            <w:r w:rsidR="00367663" w:rsidRPr="00965776">
              <w:rPr>
                <w:rStyle w:val="Hyperlink"/>
                <w:lang w:eastAsia="ja-JP"/>
              </w:rPr>
              <w:t>Privacy policy</w:t>
            </w:r>
            <w:r w:rsidR="00367663">
              <w:rPr>
                <w:webHidden/>
              </w:rPr>
              <w:tab/>
            </w:r>
            <w:r w:rsidR="00367663">
              <w:rPr>
                <w:webHidden/>
              </w:rPr>
              <w:fldChar w:fldCharType="begin"/>
            </w:r>
            <w:r w:rsidR="00367663">
              <w:rPr>
                <w:webHidden/>
              </w:rPr>
              <w:instrText xml:space="preserve"> PAGEREF _Toc131596838 \h </w:instrText>
            </w:r>
            <w:r w:rsidR="00367663">
              <w:rPr>
                <w:webHidden/>
              </w:rPr>
            </w:r>
            <w:r w:rsidR="00367663">
              <w:rPr>
                <w:webHidden/>
              </w:rPr>
              <w:fldChar w:fldCharType="separate"/>
            </w:r>
            <w:r w:rsidR="004A2435">
              <w:rPr>
                <w:webHidden/>
              </w:rPr>
              <w:t>14</w:t>
            </w:r>
            <w:r w:rsidR="00367663">
              <w:rPr>
                <w:webHidden/>
              </w:rPr>
              <w:fldChar w:fldCharType="end"/>
            </w:r>
          </w:hyperlink>
        </w:p>
        <w:p w14:paraId="090B67CE" w14:textId="5BB5D043" w:rsidR="00367663" w:rsidRDefault="001A683C">
          <w:pPr>
            <w:pStyle w:val="TOC2"/>
            <w:tabs>
              <w:tab w:val="left" w:pos="1100"/>
            </w:tabs>
            <w:rPr>
              <w:rFonts w:asciiTheme="minorHAnsi" w:eastAsiaTheme="minorEastAsia" w:hAnsiTheme="minorHAnsi"/>
              <w:lang w:eastAsia="en-AU"/>
            </w:rPr>
          </w:pPr>
          <w:hyperlink w:anchor="_Toc131596839" w:history="1">
            <w:r w:rsidR="00367663" w:rsidRPr="00965776">
              <w:rPr>
                <w:rStyle w:val="Hyperlink"/>
                <w:lang w:eastAsia="ja-JP"/>
              </w:rPr>
              <w:t>2.7</w:t>
            </w:r>
            <w:r w:rsidR="00367663">
              <w:rPr>
                <w:rFonts w:asciiTheme="minorHAnsi" w:eastAsiaTheme="minorEastAsia" w:hAnsiTheme="minorHAnsi"/>
                <w:lang w:eastAsia="en-AU"/>
              </w:rPr>
              <w:tab/>
            </w:r>
            <w:r w:rsidR="00367663" w:rsidRPr="00965776">
              <w:rPr>
                <w:rStyle w:val="Hyperlink"/>
                <w:lang w:eastAsia="ja-JP"/>
              </w:rPr>
              <w:t>Observations and findings</w:t>
            </w:r>
            <w:r w:rsidR="00367663">
              <w:rPr>
                <w:webHidden/>
              </w:rPr>
              <w:tab/>
            </w:r>
            <w:r w:rsidR="00367663">
              <w:rPr>
                <w:webHidden/>
              </w:rPr>
              <w:fldChar w:fldCharType="begin"/>
            </w:r>
            <w:r w:rsidR="00367663">
              <w:rPr>
                <w:webHidden/>
              </w:rPr>
              <w:instrText xml:space="preserve"> PAGEREF _Toc131596839 \h </w:instrText>
            </w:r>
            <w:r w:rsidR="00367663">
              <w:rPr>
                <w:webHidden/>
              </w:rPr>
            </w:r>
            <w:r w:rsidR="00367663">
              <w:rPr>
                <w:webHidden/>
              </w:rPr>
              <w:fldChar w:fldCharType="separate"/>
            </w:r>
            <w:r w:rsidR="004A2435">
              <w:rPr>
                <w:webHidden/>
              </w:rPr>
              <w:t>14</w:t>
            </w:r>
            <w:r w:rsidR="00367663">
              <w:rPr>
                <w:webHidden/>
              </w:rPr>
              <w:fldChar w:fldCharType="end"/>
            </w:r>
          </w:hyperlink>
        </w:p>
        <w:p w14:paraId="159A0808" w14:textId="43C0C391" w:rsidR="00367663" w:rsidRDefault="001A683C">
          <w:pPr>
            <w:pStyle w:val="TOC1"/>
            <w:rPr>
              <w:rFonts w:asciiTheme="minorHAnsi" w:eastAsiaTheme="minorEastAsia" w:hAnsiTheme="minorHAnsi"/>
              <w:b w:val="0"/>
              <w:lang w:eastAsia="en-AU"/>
            </w:rPr>
          </w:pPr>
          <w:hyperlink w:anchor="_Toc131596840" w:history="1">
            <w:r w:rsidR="00367663" w:rsidRPr="00965776">
              <w:rPr>
                <w:rStyle w:val="Hyperlink"/>
              </w:rPr>
              <w:t>3</w:t>
            </w:r>
            <w:r w:rsidR="00367663">
              <w:rPr>
                <w:rFonts w:asciiTheme="minorHAnsi" w:eastAsiaTheme="minorEastAsia" w:hAnsiTheme="minorHAnsi"/>
                <w:b w:val="0"/>
                <w:lang w:eastAsia="en-AU"/>
              </w:rPr>
              <w:tab/>
            </w:r>
            <w:r w:rsidR="00367663" w:rsidRPr="00965776">
              <w:rPr>
                <w:rStyle w:val="Hyperlink"/>
              </w:rPr>
              <w:t>Response to enquiries, complaints and allegations of non-compliance</w:t>
            </w:r>
            <w:r w:rsidR="00367663">
              <w:rPr>
                <w:webHidden/>
              </w:rPr>
              <w:tab/>
            </w:r>
            <w:r w:rsidR="00367663">
              <w:rPr>
                <w:webHidden/>
              </w:rPr>
              <w:fldChar w:fldCharType="begin"/>
            </w:r>
            <w:r w:rsidR="00367663">
              <w:rPr>
                <w:webHidden/>
              </w:rPr>
              <w:instrText xml:space="preserve"> PAGEREF _Toc131596840 \h </w:instrText>
            </w:r>
            <w:r w:rsidR="00367663">
              <w:rPr>
                <w:webHidden/>
              </w:rPr>
            </w:r>
            <w:r w:rsidR="00367663">
              <w:rPr>
                <w:webHidden/>
              </w:rPr>
              <w:fldChar w:fldCharType="separate"/>
            </w:r>
            <w:r w:rsidR="004A2435">
              <w:rPr>
                <w:webHidden/>
              </w:rPr>
              <w:t>19</w:t>
            </w:r>
            <w:r w:rsidR="00367663">
              <w:rPr>
                <w:webHidden/>
              </w:rPr>
              <w:fldChar w:fldCharType="end"/>
            </w:r>
          </w:hyperlink>
        </w:p>
        <w:p w14:paraId="5132C53D" w14:textId="15C2321B" w:rsidR="00367663" w:rsidRDefault="001A683C">
          <w:pPr>
            <w:pStyle w:val="TOC2"/>
            <w:tabs>
              <w:tab w:val="left" w:pos="1100"/>
            </w:tabs>
            <w:rPr>
              <w:rFonts w:asciiTheme="minorHAnsi" w:eastAsiaTheme="minorEastAsia" w:hAnsiTheme="minorHAnsi"/>
              <w:lang w:eastAsia="en-AU"/>
            </w:rPr>
          </w:pPr>
          <w:hyperlink w:anchor="_Toc131596841" w:history="1">
            <w:r w:rsidR="00367663" w:rsidRPr="00965776">
              <w:rPr>
                <w:rStyle w:val="Hyperlink"/>
                <w:lang w:eastAsia="ja-JP"/>
              </w:rPr>
              <w:t>3.1</w:t>
            </w:r>
            <w:r w:rsidR="00367663">
              <w:rPr>
                <w:rFonts w:asciiTheme="minorHAnsi" w:eastAsiaTheme="minorEastAsia" w:hAnsiTheme="minorHAnsi"/>
                <w:lang w:eastAsia="en-AU"/>
              </w:rPr>
              <w:tab/>
            </w:r>
            <w:r w:rsidR="00367663" w:rsidRPr="00965776">
              <w:rPr>
                <w:rStyle w:val="Hyperlink"/>
                <w:lang w:eastAsia="ja-JP"/>
              </w:rPr>
              <w:t>Enquiries</w:t>
            </w:r>
            <w:r w:rsidR="00367663">
              <w:rPr>
                <w:webHidden/>
              </w:rPr>
              <w:tab/>
            </w:r>
            <w:r w:rsidR="00367663">
              <w:rPr>
                <w:webHidden/>
              </w:rPr>
              <w:fldChar w:fldCharType="begin"/>
            </w:r>
            <w:r w:rsidR="00367663">
              <w:rPr>
                <w:webHidden/>
              </w:rPr>
              <w:instrText xml:space="preserve"> PAGEREF _Toc131596841 \h </w:instrText>
            </w:r>
            <w:r w:rsidR="00367663">
              <w:rPr>
                <w:webHidden/>
              </w:rPr>
            </w:r>
            <w:r w:rsidR="00367663">
              <w:rPr>
                <w:webHidden/>
              </w:rPr>
              <w:fldChar w:fldCharType="separate"/>
            </w:r>
            <w:r w:rsidR="004A2435">
              <w:rPr>
                <w:webHidden/>
              </w:rPr>
              <w:t>19</w:t>
            </w:r>
            <w:r w:rsidR="00367663">
              <w:rPr>
                <w:webHidden/>
              </w:rPr>
              <w:fldChar w:fldCharType="end"/>
            </w:r>
          </w:hyperlink>
        </w:p>
        <w:p w14:paraId="23C5A70E" w14:textId="2FC7BD3C" w:rsidR="00367663" w:rsidRDefault="001A683C">
          <w:pPr>
            <w:pStyle w:val="TOC2"/>
            <w:tabs>
              <w:tab w:val="left" w:pos="1100"/>
            </w:tabs>
            <w:rPr>
              <w:rFonts w:asciiTheme="minorHAnsi" w:eastAsiaTheme="minorEastAsia" w:hAnsiTheme="minorHAnsi"/>
              <w:lang w:eastAsia="en-AU"/>
            </w:rPr>
          </w:pPr>
          <w:hyperlink w:anchor="_Toc131596842" w:history="1">
            <w:r w:rsidR="00367663" w:rsidRPr="00965776">
              <w:rPr>
                <w:rStyle w:val="Hyperlink"/>
                <w:lang w:eastAsia="ja-JP"/>
              </w:rPr>
              <w:t>3.2</w:t>
            </w:r>
            <w:r w:rsidR="00367663">
              <w:rPr>
                <w:rFonts w:asciiTheme="minorHAnsi" w:eastAsiaTheme="minorEastAsia" w:hAnsiTheme="minorHAnsi"/>
                <w:lang w:eastAsia="en-AU"/>
              </w:rPr>
              <w:tab/>
            </w:r>
            <w:r w:rsidR="00367663" w:rsidRPr="00965776">
              <w:rPr>
                <w:rStyle w:val="Hyperlink"/>
                <w:lang w:eastAsia="ja-JP"/>
              </w:rPr>
              <w:t>Complaints</w:t>
            </w:r>
            <w:r w:rsidR="00367663">
              <w:rPr>
                <w:webHidden/>
              </w:rPr>
              <w:tab/>
            </w:r>
            <w:r w:rsidR="00367663">
              <w:rPr>
                <w:webHidden/>
              </w:rPr>
              <w:fldChar w:fldCharType="begin"/>
            </w:r>
            <w:r w:rsidR="00367663">
              <w:rPr>
                <w:webHidden/>
              </w:rPr>
              <w:instrText xml:space="preserve"> PAGEREF _Toc131596842 \h </w:instrText>
            </w:r>
            <w:r w:rsidR="00367663">
              <w:rPr>
                <w:webHidden/>
              </w:rPr>
            </w:r>
            <w:r w:rsidR="00367663">
              <w:rPr>
                <w:webHidden/>
              </w:rPr>
              <w:fldChar w:fldCharType="separate"/>
            </w:r>
            <w:r w:rsidR="004A2435">
              <w:rPr>
                <w:webHidden/>
              </w:rPr>
              <w:t>19</w:t>
            </w:r>
            <w:r w:rsidR="00367663">
              <w:rPr>
                <w:webHidden/>
              </w:rPr>
              <w:fldChar w:fldCharType="end"/>
            </w:r>
          </w:hyperlink>
        </w:p>
        <w:p w14:paraId="70A67B28" w14:textId="2BB9F1A4" w:rsidR="00367663" w:rsidRDefault="001A683C">
          <w:pPr>
            <w:pStyle w:val="TOC2"/>
            <w:tabs>
              <w:tab w:val="left" w:pos="1100"/>
            </w:tabs>
            <w:rPr>
              <w:rFonts w:asciiTheme="minorHAnsi" w:eastAsiaTheme="minorEastAsia" w:hAnsiTheme="minorHAnsi"/>
              <w:lang w:eastAsia="en-AU"/>
            </w:rPr>
          </w:pPr>
          <w:hyperlink w:anchor="_Toc131596843" w:history="1">
            <w:r w:rsidR="00367663" w:rsidRPr="00965776">
              <w:rPr>
                <w:rStyle w:val="Hyperlink"/>
                <w:lang w:eastAsia="ja-JP"/>
              </w:rPr>
              <w:t>3.3</w:t>
            </w:r>
            <w:r w:rsidR="00367663">
              <w:rPr>
                <w:rFonts w:asciiTheme="minorHAnsi" w:eastAsiaTheme="minorEastAsia" w:hAnsiTheme="minorHAnsi"/>
                <w:lang w:eastAsia="en-AU"/>
              </w:rPr>
              <w:tab/>
            </w:r>
            <w:r w:rsidR="00367663" w:rsidRPr="00965776">
              <w:rPr>
                <w:rStyle w:val="Hyperlink"/>
                <w:lang w:eastAsia="ja-JP"/>
              </w:rPr>
              <w:t>Allegations of non-compliance</w:t>
            </w:r>
            <w:r w:rsidR="00367663">
              <w:rPr>
                <w:webHidden/>
              </w:rPr>
              <w:tab/>
            </w:r>
            <w:r w:rsidR="00367663">
              <w:rPr>
                <w:webHidden/>
              </w:rPr>
              <w:fldChar w:fldCharType="begin"/>
            </w:r>
            <w:r w:rsidR="00367663">
              <w:rPr>
                <w:webHidden/>
              </w:rPr>
              <w:instrText xml:space="preserve"> PAGEREF _Toc131596843 \h </w:instrText>
            </w:r>
            <w:r w:rsidR="00367663">
              <w:rPr>
                <w:webHidden/>
              </w:rPr>
            </w:r>
            <w:r w:rsidR="00367663">
              <w:rPr>
                <w:webHidden/>
              </w:rPr>
              <w:fldChar w:fldCharType="separate"/>
            </w:r>
            <w:r w:rsidR="004A2435">
              <w:rPr>
                <w:webHidden/>
              </w:rPr>
              <w:t>20</w:t>
            </w:r>
            <w:r w:rsidR="00367663">
              <w:rPr>
                <w:webHidden/>
              </w:rPr>
              <w:fldChar w:fldCharType="end"/>
            </w:r>
          </w:hyperlink>
        </w:p>
        <w:p w14:paraId="3DCF9AC7" w14:textId="6E4DA961" w:rsidR="00367663" w:rsidRDefault="001A683C">
          <w:pPr>
            <w:pStyle w:val="TOC2"/>
            <w:tabs>
              <w:tab w:val="left" w:pos="1100"/>
            </w:tabs>
            <w:rPr>
              <w:rFonts w:asciiTheme="minorHAnsi" w:eastAsiaTheme="minorEastAsia" w:hAnsiTheme="minorHAnsi"/>
              <w:lang w:eastAsia="en-AU"/>
            </w:rPr>
          </w:pPr>
          <w:hyperlink w:anchor="_Toc131596844" w:history="1">
            <w:r w:rsidR="00367663" w:rsidRPr="00965776">
              <w:rPr>
                <w:rStyle w:val="Hyperlink"/>
                <w:lang w:eastAsia="ja-JP"/>
              </w:rPr>
              <w:t>3.4</w:t>
            </w:r>
            <w:r w:rsidR="00367663">
              <w:rPr>
                <w:rFonts w:asciiTheme="minorHAnsi" w:eastAsiaTheme="minorEastAsia" w:hAnsiTheme="minorHAnsi"/>
                <w:lang w:eastAsia="en-AU"/>
              </w:rPr>
              <w:tab/>
            </w:r>
            <w:r w:rsidR="00367663" w:rsidRPr="00965776">
              <w:rPr>
                <w:rStyle w:val="Hyperlink"/>
                <w:lang w:eastAsia="ja-JP"/>
              </w:rPr>
              <w:t>Observations and findings</w:t>
            </w:r>
            <w:r w:rsidR="00367663">
              <w:rPr>
                <w:webHidden/>
              </w:rPr>
              <w:tab/>
            </w:r>
            <w:r w:rsidR="00367663">
              <w:rPr>
                <w:webHidden/>
              </w:rPr>
              <w:fldChar w:fldCharType="begin"/>
            </w:r>
            <w:r w:rsidR="00367663">
              <w:rPr>
                <w:webHidden/>
              </w:rPr>
              <w:instrText xml:space="preserve"> PAGEREF _Toc131596844 \h </w:instrText>
            </w:r>
            <w:r w:rsidR="00367663">
              <w:rPr>
                <w:webHidden/>
              </w:rPr>
            </w:r>
            <w:r w:rsidR="00367663">
              <w:rPr>
                <w:webHidden/>
              </w:rPr>
              <w:fldChar w:fldCharType="separate"/>
            </w:r>
            <w:r w:rsidR="004A2435">
              <w:rPr>
                <w:webHidden/>
              </w:rPr>
              <w:t>20</w:t>
            </w:r>
            <w:r w:rsidR="00367663">
              <w:rPr>
                <w:webHidden/>
              </w:rPr>
              <w:fldChar w:fldCharType="end"/>
            </w:r>
          </w:hyperlink>
        </w:p>
        <w:p w14:paraId="607197D6" w14:textId="11DFDAA0" w:rsidR="00367663" w:rsidRDefault="001A683C">
          <w:pPr>
            <w:pStyle w:val="TOC1"/>
            <w:rPr>
              <w:rFonts w:asciiTheme="minorHAnsi" w:eastAsiaTheme="minorEastAsia" w:hAnsiTheme="minorHAnsi"/>
              <w:b w:val="0"/>
              <w:lang w:eastAsia="en-AU"/>
            </w:rPr>
          </w:pPr>
          <w:hyperlink w:anchor="_Toc131596845" w:history="1">
            <w:r w:rsidR="00367663" w:rsidRPr="00965776">
              <w:rPr>
                <w:rStyle w:val="Hyperlink"/>
              </w:rPr>
              <w:t>Appendix A: Department’s response</w:t>
            </w:r>
            <w:r w:rsidR="00367663">
              <w:rPr>
                <w:webHidden/>
              </w:rPr>
              <w:tab/>
            </w:r>
            <w:r w:rsidR="00367663">
              <w:rPr>
                <w:webHidden/>
              </w:rPr>
              <w:fldChar w:fldCharType="begin"/>
            </w:r>
            <w:r w:rsidR="00367663">
              <w:rPr>
                <w:webHidden/>
              </w:rPr>
              <w:instrText xml:space="preserve"> PAGEREF _Toc131596845 \h </w:instrText>
            </w:r>
            <w:r w:rsidR="00367663">
              <w:rPr>
                <w:webHidden/>
              </w:rPr>
            </w:r>
            <w:r w:rsidR="00367663">
              <w:rPr>
                <w:webHidden/>
              </w:rPr>
              <w:fldChar w:fldCharType="separate"/>
            </w:r>
            <w:r w:rsidR="004A2435">
              <w:rPr>
                <w:webHidden/>
              </w:rPr>
              <w:t>23</w:t>
            </w:r>
            <w:r w:rsidR="00367663">
              <w:rPr>
                <w:webHidden/>
              </w:rPr>
              <w:fldChar w:fldCharType="end"/>
            </w:r>
          </w:hyperlink>
        </w:p>
        <w:p w14:paraId="00DADAE4" w14:textId="5E87E9B5" w:rsidR="00367663" w:rsidRDefault="001A683C">
          <w:pPr>
            <w:pStyle w:val="TOC2"/>
            <w:rPr>
              <w:rFonts w:asciiTheme="minorHAnsi" w:eastAsiaTheme="minorEastAsia" w:hAnsiTheme="minorHAnsi"/>
              <w:lang w:eastAsia="en-AU"/>
            </w:rPr>
          </w:pPr>
          <w:hyperlink w:anchor="_Toc131596846" w:history="1">
            <w:r w:rsidR="00367663" w:rsidRPr="00965776">
              <w:rPr>
                <w:rStyle w:val="Hyperlink"/>
                <w:lang w:eastAsia="ja-JP"/>
              </w:rPr>
              <w:t>Enclosed response</w:t>
            </w:r>
            <w:r w:rsidR="00367663">
              <w:rPr>
                <w:webHidden/>
              </w:rPr>
              <w:tab/>
            </w:r>
            <w:r w:rsidR="00367663">
              <w:rPr>
                <w:webHidden/>
              </w:rPr>
              <w:fldChar w:fldCharType="begin"/>
            </w:r>
            <w:r w:rsidR="00367663">
              <w:rPr>
                <w:webHidden/>
              </w:rPr>
              <w:instrText xml:space="preserve"> PAGEREF _Toc131596846 \h </w:instrText>
            </w:r>
            <w:r w:rsidR="00367663">
              <w:rPr>
                <w:webHidden/>
              </w:rPr>
            </w:r>
            <w:r w:rsidR="00367663">
              <w:rPr>
                <w:webHidden/>
              </w:rPr>
              <w:fldChar w:fldCharType="separate"/>
            </w:r>
            <w:r w:rsidR="004A2435">
              <w:rPr>
                <w:webHidden/>
              </w:rPr>
              <w:t>24</w:t>
            </w:r>
            <w:r w:rsidR="00367663">
              <w:rPr>
                <w:webHidden/>
              </w:rPr>
              <w:fldChar w:fldCharType="end"/>
            </w:r>
          </w:hyperlink>
        </w:p>
        <w:p w14:paraId="670C10C0" w14:textId="5028CA12" w:rsidR="00367663" w:rsidRDefault="001A683C">
          <w:pPr>
            <w:pStyle w:val="TOC1"/>
            <w:rPr>
              <w:rFonts w:asciiTheme="minorHAnsi" w:eastAsiaTheme="minorEastAsia" w:hAnsiTheme="minorHAnsi"/>
              <w:b w:val="0"/>
              <w:lang w:eastAsia="en-AU"/>
            </w:rPr>
          </w:pPr>
          <w:hyperlink w:anchor="_Toc131596847" w:history="1">
            <w:r w:rsidR="00367663" w:rsidRPr="00965776">
              <w:rPr>
                <w:rStyle w:val="Hyperlink"/>
              </w:rPr>
              <w:t>Appendix B: Industry engagement forums</w:t>
            </w:r>
            <w:r w:rsidR="00367663">
              <w:rPr>
                <w:webHidden/>
              </w:rPr>
              <w:tab/>
            </w:r>
            <w:r w:rsidR="00367663">
              <w:rPr>
                <w:webHidden/>
              </w:rPr>
              <w:fldChar w:fldCharType="begin"/>
            </w:r>
            <w:r w:rsidR="00367663">
              <w:rPr>
                <w:webHidden/>
              </w:rPr>
              <w:instrText xml:space="preserve"> PAGEREF _Toc131596847 \h </w:instrText>
            </w:r>
            <w:r w:rsidR="00367663">
              <w:rPr>
                <w:webHidden/>
              </w:rPr>
            </w:r>
            <w:r w:rsidR="00367663">
              <w:rPr>
                <w:webHidden/>
              </w:rPr>
              <w:fldChar w:fldCharType="separate"/>
            </w:r>
            <w:r w:rsidR="004A2435">
              <w:rPr>
                <w:webHidden/>
              </w:rPr>
              <w:t>26</w:t>
            </w:r>
            <w:r w:rsidR="00367663">
              <w:rPr>
                <w:webHidden/>
              </w:rPr>
              <w:fldChar w:fldCharType="end"/>
            </w:r>
          </w:hyperlink>
        </w:p>
        <w:p w14:paraId="54EB913B" w14:textId="7FEE8536" w:rsidR="00367663" w:rsidRDefault="001A683C">
          <w:pPr>
            <w:pStyle w:val="TOC1"/>
            <w:rPr>
              <w:rFonts w:asciiTheme="minorHAnsi" w:eastAsiaTheme="minorEastAsia" w:hAnsiTheme="minorHAnsi"/>
              <w:b w:val="0"/>
              <w:lang w:eastAsia="en-AU"/>
            </w:rPr>
          </w:pPr>
          <w:hyperlink w:anchor="_Toc131596848" w:history="1">
            <w:r w:rsidR="00367663" w:rsidRPr="00965776">
              <w:rPr>
                <w:rStyle w:val="Hyperlink"/>
              </w:rPr>
              <w:t>Appendix C: Submission issues register</w:t>
            </w:r>
            <w:r w:rsidR="00367663">
              <w:rPr>
                <w:webHidden/>
              </w:rPr>
              <w:tab/>
            </w:r>
            <w:r w:rsidR="00367663">
              <w:rPr>
                <w:webHidden/>
              </w:rPr>
              <w:fldChar w:fldCharType="begin"/>
            </w:r>
            <w:r w:rsidR="00367663">
              <w:rPr>
                <w:webHidden/>
              </w:rPr>
              <w:instrText xml:space="preserve"> PAGEREF _Toc131596848 \h </w:instrText>
            </w:r>
            <w:r w:rsidR="00367663">
              <w:rPr>
                <w:webHidden/>
              </w:rPr>
            </w:r>
            <w:r w:rsidR="00367663">
              <w:rPr>
                <w:webHidden/>
              </w:rPr>
              <w:fldChar w:fldCharType="separate"/>
            </w:r>
            <w:r w:rsidR="004A2435">
              <w:rPr>
                <w:webHidden/>
              </w:rPr>
              <w:t>27</w:t>
            </w:r>
            <w:r w:rsidR="00367663">
              <w:rPr>
                <w:webHidden/>
              </w:rPr>
              <w:fldChar w:fldCharType="end"/>
            </w:r>
          </w:hyperlink>
        </w:p>
        <w:p w14:paraId="6C2F76EC" w14:textId="57DF7BA9" w:rsidR="00367663" w:rsidRDefault="001A683C">
          <w:pPr>
            <w:pStyle w:val="TOC1"/>
            <w:rPr>
              <w:rFonts w:asciiTheme="minorHAnsi" w:eastAsiaTheme="minorEastAsia" w:hAnsiTheme="minorHAnsi"/>
              <w:b w:val="0"/>
              <w:lang w:eastAsia="en-AU"/>
            </w:rPr>
          </w:pPr>
          <w:hyperlink w:anchor="_Toc131596849" w:history="1">
            <w:r w:rsidR="00367663" w:rsidRPr="00965776">
              <w:rPr>
                <w:rStyle w:val="Hyperlink"/>
              </w:rPr>
              <w:t>Glossary</w:t>
            </w:r>
            <w:r w:rsidR="00367663">
              <w:rPr>
                <w:webHidden/>
              </w:rPr>
              <w:tab/>
            </w:r>
            <w:r w:rsidR="00367663">
              <w:rPr>
                <w:webHidden/>
              </w:rPr>
              <w:fldChar w:fldCharType="begin"/>
            </w:r>
            <w:r w:rsidR="00367663">
              <w:rPr>
                <w:webHidden/>
              </w:rPr>
              <w:instrText xml:space="preserve"> PAGEREF _Toc131596849 \h </w:instrText>
            </w:r>
            <w:r w:rsidR="00367663">
              <w:rPr>
                <w:webHidden/>
              </w:rPr>
            </w:r>
            <w:r w:rsidR="00367663">
              <w:rPr>
                <w:webHidden/>
              </w:rPr>
              <w:fldChar w:fldCharType="separate"/>
            </w:r>
            <w:r w:rsidR="004A2435">
              <w:rPr>
                <w:webHidden/>
              </w:rPr>
              <w:t>28</w:t>
            </w:r>
            <w:r w:rsidR="00367663">
              <w:rPr>
                <w:webHidden/>
              </w:rPr>
              <w:fldChar w:fldCharType="end"/>
            </w:r>
          </w:hyperlink>
        </w:p>
        <w:p w14:paraId="73F22A8D" w14:textId="642DB85D" w:rsidR="00367663" w:rsidRDefault="001A683C">
          <w:pPr>
            <w:pStyle w:val="TOC1"/>
            <w:rPr>
              <w:rFonts w:asciiTheme="minorHAnsi" w:eastAsiaTheme="minorEastAsia" w:hAnsiTheme="minorHAnsi"/>
              <w:b w:val="0"/>
              <w:lang w:eastAsia="en-AU"/>
            </w:rPr>
          </w:pPr>
          <w:hyperlink w:anchor="_Toc131596850" w:history="1">
            <w:r w:rsidR="00367663" w:rsidRPr="00965776">
              <w:rPr>
                <w:rStyle w:val="Hyperlink"/>
              </w:rPr>
              <w:t>References</w:t>
            </w:r>
            <w:r w:rsidR="00367663">
              <w:rPr>
                <w:webHidden/>
              </w:rPr>
              <w:tab/>
            </w:r>
            <w:r w:rsidR="00367663">
              <w:rPr>
                <w:webHidden/>
              </w:rPr>
              <w:fldChar w:fldCharType="begin"/>
            </w:r>
            <w:r w:rsidR="00367663">
              <w:rPr>
                <w:webHidden/>
              </w:rPr>
              <w:instrText xml:space="preserve"> PAGEREF _Toc131596850 \h </w:instrText>
            </w:r>
            <w:r w:rsidR="00367663">
              <w:rPr>
                <w:webHidden/>
              </w:rPr>
            </w:r>
            <w:r w:rsidR="00367663">
              <w:rPr>
                <w:webHidden/>
              </w:rPr>
              <w:fldChar w:fldCharType="separate"/>
            </w:r>
            <w:r w:rsidR="004A2435">
              <w:rPr>
                <w:webHidden/>
              </w:rPr>
              <w:t>29</w:t>
            </w:r>
            <w:r w:rsidR="00367663">
              <w:rPr>
                <w:webHidden/>
              </w:rPr>
              <w:fldChar w:fldCharType="end"/>
            </w:r>
          </w:hyperlink>
        </w:p>
        <w:p w14:paraId="715E0F46" w14:textId="2C5755F0" w:rsidR="00ED4DC4" w:rsidRDefault="005D0729" w:rsidP="00ED4DC4">
          <w:pPr>
            <w:rPr>
              <w:noProof/>
            </w:rPr>
          </w:pPr>
          <w:r>
            <w:rPr>
              <w:b/>
              <w:noProof/>
              <w:color w:val="2B579A"/>
              <w:shd w:val="clear" w:color="auto" w:fill="E6E6E6"/>
            </w:rPr>
            <w:lastRenderedPageBreak/>
            <w:fldChar w:fldCharType="end"/>
          </w:r>
          <w:r w:rsidR="00ED4DC4">
            <w:rPr>
              <w:b/>
              <w:noProof/>
              <w:color w:val="2B579A"/>
              <w:shd w:val="clear" w:color="auto" w:fill="E6E6E6"/>
            </w:rPr>
            <w:fldChar w:fldCharType="begin"/>
          </w:r>
          <w:r w:rsidR="00ED4DC4">
            <w:rPr>
              <w:b/>
              <w:noProof/>
              <w:color w:val="2B579A"/>
              <w:shd w:val="clear" w:color="auto" w:fill="E6E6E6"/>
            </w:rPr>
            <w:instrText xml:space="preserve"> TOC \c "Table" </w:instrText>
          </w:r>
          <w:r w:rsidR="00ED4DC4">
            <w:rPr>
              <w:b/>
              <w:noProof/>
              <w:color w:val="2B579A"/>
              <w:shd w:val="clear" w:color="auto" w:fill="E6E6E6"/>
            </w:rPr>
            <w:fldChar w:fldCharType="separate"/>
          </w:r>
        </w:p>
        <w:p w14:paraId="5EBEA5BF" w14:textId="3C99CC03" w:rsidR="0090231C" w:rsidRPr="0090231C" w:rsidRDefault="0090231C" w:rsidP="0090231C">
          <w:pPr>
            <w:pStyle w:val="TOCHeading2"/>
            <w:rPr>
              <w:rStyle w:val="Strong"/>
            </w:rPr>
          </w:pPr>
          <w:r w:rsidRPr="0090231C">
            <w:rPr>
              <w:rStyle w:val="Strong"/>
            </w:rPr>
            <w:t>Tables</w:t>
          </w:r>
        </w:p>
        <w:p w14:paraId="407CEFE2" w14:textId="35D3F87C" w:rsidR="00ED4DC4" w:rsidRDefault="00ED4DC4">
          <w:pPr>
            <w:pStyle w:val="TableofFigures"/>
            <w:tabs>
              <w:tab w:val="right" w:leader="dot" w:pos="9060"/>
            </w:tabs>
            <w:rPr>
              <w:rFonts w:asciiTheme="minorHAnsi" w:eastAsiaTheme="minorEastAsia" w:hAnsiTheme="minorHAnsi"/>
              <w:noProof/>
              <w:lang w:eastAsia="en-AU"/>
            </w:rPr>
          </w:pPr>
          <w:r>
            <w:rPr>
              <w:noProof/>
            </w:rPr>
            <w:t>Table 1 Summary of departmental reports</w:t>
          </w:r>
          <w:r>
            <w:rPr>
              <w:noProof/>
            </w:rPr>
            <w:tab/>
          </w:r>
          <w:r>
            <w:rPr>
              <w:noProof/>
            </w:rPr>
            <w:fldChar w:fldCharType="begin"/>
          </w:r>
          <w:r>
            <w:rPr>
              <w:noProof/>
            </w:rPr>
            <w:instrText xml:space="preserve"> PAGEREF _Toc130901378 \h </w:instrText>
          </w:r>
          <w:r>
            <w:rPr>
              <w:noProof/>
            </w:rPr>
          </w:r>
          <w:r>
            <w:rPr>
              <w:noProof/>
            </w:rPr>
            <w:fldChar w:fldCharType="separate"/>
          </w:r>
          <w:r w:rsidR="004A2435">
            <w:rPr>
              <w:noProof/>
            </w:rPr>
            <w:t>17</w:t>
          </w:r>
          <w:r>
            <w:rPr>
              <w:noProof/>
            </w:rPr>
            <w:fldChar w:fldCharType="end"/>
          </w:r>
        </w:p>
        <w:p w14:paraId="3FC45BA0" w14:textId="6F4DD783" w:rsidR="00415F88" w:rsidRDefault="00ED4DC4" w:rsidP="00415F88">
          <w:pPr>
            <w:rPr>
              <w:b/>
              <w:noProof/>
              <w:color w:val="2B579A"/>
              <w:shd w:val="clear" w:color="auto" w:fill="E6E6E6"/>
            </w:rPr>
          </w:pPr>
          <w:r>
            <w:rPr>
              <w:b/>
              <w:noProof/>
              <w:color w:val="2B579A"/>
              <w:shd w:val="clear" w:color="auto" w:fill="E6E6E6"/>
            </w:rPr>
            <w:fldChar w:fldCharType="end"/>
          </w:r>
        </w:p>
      </w:sdtContent>
    </w:sdt>
    <w:p w14:paraId="45093C7F" w14:textId="7219C37A" w:rsidR="005D0D0D" w:rsidRDefault="005D0D0D">
      <w:pPr>
        <w:pStyle w:val="Heading2"/>
        <w:numPr>
          <w:ilvl w:val="0"/>
          <w:numId w:val="0"/>
        </w:numPr>
        <w:ind w:left="709" w:hanging="709"/>
      </w:pPr>
      <w:bookmarkStart w:id="1" w:name="_Toc131596817"/>
      <w:bookmarkStart w:id="2" w:name="_Toc430782149"/>
      <w:r>
        <w:lastRenderedPageBreak/>
        <w:t>Summary</w:t>
      </w:r>
      <w:bookmarkEnd w:id="1"/>
    </w:p>
    <w:p w14:paraId="6968808A" w14:textId="0F77E132" w:rsidR="00FC44B6" w:rsidRDefault="00FC44B6" w:rsidP="00FC44B6">
      <w:pPr>
        <w:rPr>
          <w:lang w:eastAsia="ja-JP"/>
        </w:rPr>
      </w:pPr>
      <w:r>
        <w:rPr>
          <w:lang w:eastAsia="ja-JP"/>
        </w:rPr>
        <w:t xml:space="preserve">This is the sixth and final review for this inspector-general due to retirement. As noted in previous reviews the department has made significant improvement to its regulatory practice since 2019. However, there is much left to do. Of the 41 recommendations made in these </w:t>
      </w:r>
      <w:r w:rsidR="00CA6963">
        <w:rPr>
          <w:lang w:eastAsia="ja-JP"/>
        </w:rPr>
        <w:t>6</w:t>
      </w:r>
      <w:r>
        <w:rPr>
          <w:lang w:eastAsia="ja-JP"/>
        </w:rPr>
        <w:t xml:space="preserve"> reviews the department has 3</w:t>
      </w:r>
      <w:r w:rsidR="00344AFC">
        <w:rPr>
          <w:lang w:eastAsia="ja-JP"/>
        </w:rPr>
        <w:t>3</w:t>
      </w:r>
      <w:r>
        <w:rPr>
          <w:lang w:eastAsia="ja-JP"/>
        </w:rPr>
        <w:t xml:space="preserve"> that remain open.</w:t>
      </w:r>
    </w:p>
    <w:p w14:paraId="5F6BAE46" w14:textId="77777777" w:rsidR="00FC44B6" w:rsidRDefault="00FC44B6" w:rsidP="00FC44B6">
      <w:pPr>
        <w:rPr>
          <w:lang w:eastAsia="ja-JP"/>
        </w:rPr>
      </w:pPr>
      <w:r>
        <w:rPr>
          <w:lang w:eastAsia="ja-JP"/>
        </w:rPr>
        <w:t>The Moss review, and the inspector-general, have noted the antecedent reduction in resourcing and capability that preceded the Awassi incident. In effect this represented depreciation of the underlying capital asset of regulatory capability and capacity. Recent reports of the department’s dire financial position mean that it is unlikely that the department will have sufficient resourcing from operational cost recovery alone to be able to acquit these recommendations and move towards better regulatory practice in the medium term.</w:t>
      </w:r>
    </w:p>
    <w:p w14:paraId="2AFB2E02" w14:textId="77777777" w:rsidR="00FC44B6" w:rsidRDefault="00FC44B6" w:rsidP="00FC44B6">
      <w:pPr>
        <w:rPr>
          <w:lang w:eastAsia="ja-JP"/>
        </w:rPr>
      </w:pPr>
      <w:r>
        <w:rPr>
          <w:lang w:eastAsia="ja-JP"/>
        </w:rPr>
        <w:t>While the inspector-general considers cost recovery to be best practice for regulators, this is predicated on a regulator being at an effective and efficient level of regulatory maturity. As livestock exports regulation is yet to achieve this level of maturity, it is the inspector-general’s view that there is a case for public investment in the underpinning capability and capacity required. Cost recovery can then support the operations and ongoing maintenance.</w:t>
      </w:r>
    </w:p>
    <w:p w14:paraId="64D7370D" w14:textId="625909FF" w:rsidR="00FC44B6" w:rsidRDefault="00FC44B6" w:rsidP="00FC44B6">
      <w:pPr>
        <w:rPr>
          <w:lang w:eastAsia="ja-JP"/>
        </w:rPr>
      </w:pPr>
      <w:r>
        <w:rPr>
          <w:lang w:eastAsia="ja-JP"/>
        </w:rPr>
        <w:t xml:space="preserve">In relation to this review, the inspector-general considers that the department generally consults and engages well with livestock export stakeholders. Communication and engagement </w:t>
      </w:r>
      <w:r w:rsidR="0069023A">
        <w:rPr>
          <w:lang w:eastAsia="ja-JP"/>
        </w:rPr>
        <w:t>are</w:t>
      </w:r>
      <w:r>
        <w:rPr>
          <w:lang w:eastAsia="ja-JP"/>
        </w:rPr>
        <w:t xml:space="preserve"> undertaken in accordance with standard </w:t>
      </w:r>
      <w:r w:rsidR="00155EB2">
        <w:rPr>
          <w:lang w:eastAsia="ja-JP"/>
        </w:rPr>
        <w:t>Australian Government</w:t>
      </w:r>
      <w:r>
        <w:rPr>
          <w:lang w:eastAsia="ja-JP"/>
        </w:rPr>
        <w:t xml:space="preserve"> and APS approaches and requirements.</w:t>
      </w:r>
    </w:p>
    <w:p w14:paraId="40A0FFED" w14:textId="77777777" w:rsidR="00FC44B6" w:rsidRDefault="00FC44B6" w:rsidP="00FC44B6">
      <w:pPr>
        <w:rPr>
          <w:lang w:eastAsia="ja-JP"/>
        </w:rPr>
      </w:pPr>
      <w:r>
        <w:rPr>
          <w:lang w:eastAsia="ja-JP"/>
        </w:rPr>
        <w:t>For formal consultations the primary issues raised by stakeholders were the timeframes for submissions (including overlapping timeframes), quantity and scheduling of consultations. In this regard, the inspector-general recommended an increased use of targeted meetings to facilitate stakeholders being heard, reducing the need for them to make formal submissions, and ensuring regional and stakeholder differences are identified (Recommendation 1). The review also discusses the utility of the department providing an indicative consultation workplan on its website so that stakeholders and their staff can plan for submission development. The review also discusses the importance of stakeholders understanding that their issues have been considered and recommends a ‘response to submissions’ as part of the subsequent decision to give effect to this (Recommendation 2).</w:t>
      </w:r>
    </w:p>
    <w:p w14:paraId="02648995" w14:textId="77777777" w:rsidR="00FC44B6" w:rsidRDefault="00FC44B6" w:rsidP="00FC44B6">
      <w:pPr>
        <w:rPr>
          <w:lang w:eastAsia="ja-JP"/>
        </w:rPr>
      </w:pPr>
      <w:r>
        <w:rPr>
          <w:lang w:eastAsia="ja-JP"/>
        </w:rPr>
        <w:t>The review also noted that there may be further opportunities for the department to collaborate with professional bodies and animal welfare organisations, particularly where they have strong technical skills and can provide a useful perspective on often contestable areas of evidence.</w:t>
      </w:r>
    </w:p>
    <w:p w14:paraId="7BF35CDB" w14:textId="058B985B" w:rsidR="00FC44B6" w:rsidRDefault="00FC44B6" w:rsidP="00FC44B6">
      <w:pPr>
        <w:rPr>
          <w:lang w:eastAsia="ja-JP"/>
        </w:rPr>
      </w:pPr>
      <w:r>
        <w:rPr>
          <w:lang w:eastAsia="ja-JP"/>
        </w:rPr>
        <w:t xml:space="preserve">The department seeks to provide transparency of the livestock export industry by reporting and publishing a range of information on their website and have done so for some time. The department is to be commended in this regard. While the review discusses a range of ways in which this reporting could be improved to increase the timeliness, </w:t>
      </w:r>
      <w:proofErr w:type="gramStart"/>
      <w:r>
        <w:rPr>
          <w:lang w:eastAsia="ja-JP"/>
        </w:rPr>
        <w:t>consistency</w:t>
      </w:r>
      <w:proofErr w:type="gramEnd"/>
      <w:r>
        <w:rPr>
          <w:lang w:eastAsia="ja-JP"/>
        </w:rPr>
        <w:t xml:space="preserve"> and utility of the information, it also highlights the main challenge for the department. That is, for the department to increase public trust and confidence in them as a regulator.</w:t>
      </w:r>
    </w:p>
    <w:p w14:paraId="6AD6BC83" w14:textId="77777777" w:rsidR="00FC44B6" w:rsidRDefault="00FC44B6" w:rsidP="00FC44B6">
      <w:pPr>
        <w:rPr>
          <w:lang w:eastAsia="ja-JP"/>
        </w:rPr>
      </w:pPr>
      <w:r>
        <w:rPr>
          <w:lang w:eastAsia="ja-JP"/>
        </w:rPr>
        <w:lastRenderedPageBreak/>
        <w:t xml:space="preserve">The review canvasses two main ways that regulators seek to instil public trust and confidence in their regulatory regime. Firstly, by regularly publishing the activities they undertake to assure compliance. For example, the number and types of audits, inspections, </w:t>
      </w:r>
      <w:proofErr w:type="gramStart"/>
      <w:r>
        <w:rPr>
          <w:lang w:eastAsia="ja-JP"/>
        </w:rPr>
        <w:t>investigations</w:t>
      </w:r>
      <w:proofErr w:type="gramEnd"/>
      <w:r>
        <w:rPr>
          <w:lang w:eastAsia="ja-JP"/>
        </w:rPr>
        <w:t xml:space="preserve"> and the non-compliances that are detected.</w:t>
      </w:r>
    </w:p>
    <w:p w14:paraId="7846B0A2" w14:textId="3ECE25C4" w:rsidR="00FC44B6" w:rsidRDefault="00FC44B6" w:rsidP="00FC44B6">
      <w:pPr>
        <w:rPr>
          <w:lang w:eastAsia="ja-JP"/>
        </w:rPr>
      </w:pPr>
      <w:r>
        <w:rPr>
          <w:lang w:eastAsia="ja-JP"/>
        </w:rPr>
        <w:t>Secondly, regulators can also publish the nature of their regulatory responses such as warning letters, legal notices, penalty notices and prosecutions. Additionally, not all livestock health and welfare issues that may be identified are non-compliances. These health and welfare issues are usually being actively managed by the exporter at the time and may result in improved practices by the exporter in future. These issues can provide important context, particularly where proactive, positive action is demonstrated. This may also improve stakeholder confidence in the management of livestock health and welfare.</w:t>
      </w:r>
    </w:p>
    <w:p w14:paraId="6D2FA174" w14:textId="77777777" w:rsidR="00FC44B6" w:rsidRDefault="00FC44B6" w:rsidP="00FC44B6">
      <w:pPr>
        <w:rPr>
          <w:lang w:eastAsia="ja-JP"/>
        </w:rPr>
      </w:pPr>
      <w:r>
        <w:rPr>
          <w:lang w:eastAsia="ja-JP"/>
        </w:rPr>
        <w:t>Many of the concerns stakeholders have raised with the inspector-general relating to transparency and reporting, including in the provision of images and details from independent observer reports, can be attributed to a root cause of a lack of trust and confidence that the department is detecting non-compliance effectively, and taking proportionate regulatory action. Recommendation 3, and implicit in recommendations 4 and 5, is transparency and publication of information of this nature.</w:t>
      </w:r>
    </w:p>
    <w:p w14:paraId="616D225E" w14:textId="7688579D" w:rsidR="00FC44B6" w:rsidRPr="00FC44B6" w:rsidRDefault="00FC44B6" w:rsidP="00FC44B6">
      <w:pPr>
        <w:rPr>
          <w:lang w:eastAsia="ja-JP"/>
        </w:rPr>
      </w:pPr>
      <w:r>
        <w:rPr>
          <w:lang w:eastAsia="ja-JP"/>
        </w:rPr>
        <w:t>Finally, the review discusses the timeliness of both publication of reports and of the provision of independent observer data to exporters and recommends a service level commitment in this regard (Recommendation 6).</w:t>
      </w:r>
    </w:p>
    <w:p w14:paraId="3488D4A9" w14:textId="00868E2E" w:rsidR="0065401A" w:rsidRDefault="005D0729">
      <w:pPr>
        <w:pStyle w:val="Heading2"/>
        <w:numPr>
          <w:ilvl w:val="0"/>
          <w:numId w:val="0"/>
        </w:numPr>
        <w:ind w:left="709" w:hanging="709"/>
      </w:pPr>
      <w:bookmarkStart w:id="3" w:name="_Toc131596818"/>
      <w:r>
        <w:lastRenderedPageBreak/>
        <w:t>Review process</w:t>
      </w:r>
      <w:bookmarkEnd w:id="3"/>
    </w:p>
    <w:p w14:paraId="00533968" w14:textId="77777777" w:rsidR="0065401A" w:rsidRDefault="005D0729">
      <w:pPr>
        <w:pStyle w:val="Heading3"/>
        <w:numPr>
          <w:ilvl w:val="0"/>
          <w:numId w:val="0"/>
        </w:numPr>
        <w:ind w:left="964" w:hanging="964"/>
      </w:pPr>
      <w:bookmarkStart w:id="4" w:name="_Toc131596819"/>
      <w:r>
        <w:t>Objectives</w:t>
      </w:r>
      <w:bookmarkEnd w:id="4"/>
    </w:p>
    <w:p w14:paraId="13CDEE60" w14:textId="326979E5" w:rsidR="00725C66" w:rsidRPr="00725C66" w:rsidRDefault="00725C66" w:rsidP="00725C66">
      <w:pPr>
        <w:rPr>
          <w:lang w:val="en"/>
        </w:rPr>
      </w:pPr>
      <w:r w:rsidRPr="00725C66">
        <w:rPr>
          <w:lang w:val="en"/>
        </w:rPr>
        <w:t>Th</w:t>
      </w:r>
      <w:r w:rsidR="00B97DE2">
        <w:rPr>
          <w:lang w:val="en"/>
        </w:rPr>
        <w:t>e</w:t>
      </w:r>
      <w:r w:rsidRPr="00725C66">
        <w:rPr>
          <w:lang w:val="en"/>
        </w:rPr>
        <w:t xml:space="preserve"> review examined</w:t>
      </w:r>
      <w:r w:rsidR="00CB58C7">
        <w:rPr>
          <w:lang w:val="en"/>
        </w:rPr>
        <w:t xml:space="preserve"> </w:t>
      </w:r>
      <w:r w:rsidR="005D0D0D" w:rsidRPr="005D0D0D">
        <w:rPr>
          <w:lang w:val="en"/>
        </w:rPr>
        <w:t xml:space="preserve">the Department of Agriculture, Fisheries and Forestry’s approach to stakeholder </w:t>
      </w:r>
      <w:r w:rsidR="00397A3F">
        <w:rPr>
          <w:lang w:val="en"/>
        </w:rPr>
        <w:t xml:space="preserve">communication, </w:t>
      </w:r>
      <w:r w:rsidR="005D0D0D" w:rsidRPr="005D0D0D">
        <w:rPr>
          <w:lang w:val="en"/>
        </w:rPr>
        <w:t xml:space="preserve">engagement and response to external </w:t>
      </w:r>
      <w:r w:rsidR="00373C78">
        <w:rPr>
          <w:lang w:val="en"/>
        </w:rPr>
        <w:t>e</w:t>
      </w:r>
      <w:r w:rsidR="005D0D0D" w:rsidRPr="005D0D0D">
        <w:rPr>
          <w:lang w:val="en"/>
        </w:rPr>
        <w:t>nquiries, reports, complaints</w:t>
      </w:r>
      <w:r w:rsidR="00677C65">
        <w:rPr>
          <w:lang w:val="en"/>
        </w:rPr>
        <w:t>,</w:t>
      </w:r>
      <w:r w:rsidR="005D0D0D" w:rsidRPr="005D0D0D">
        <w:rPr>
          <w:lang w:val="en"/>
        </w:rPr>
        <w:t xml:space="preserve"> and allegations of non-compliance.</w:t>
      </w:r>
      <w:r w:rsidRPr="00725C66">
        <w:rPr>
          <w:lang w:val="en"/>
        </w:rPr>
        <w:t xml:space="preserve"> The review focused on:</w:t>
      </w:r>
    </w:p>
    <w:p w14:paraId="5CA39EBD" w14:textId="77777777" w:rsidR="005D0D0D" w:rsidRDefault="005D0D0D" w:rsidP="005D0D0D">
      <w:pPr>
        <w:pStyle w:val="ListBullet"/>
      </w:pPr>
      <w:r>
        <w:t xml:space="preserve">how effective the department engages with all its livestock export </w:t>
      </w:r>
      <w:proofErr w:type="gramStart"/>
      <w:r>
        <w:t>stakeholders</w:t>
      </w:r>
      <w:proofErr w:type="gramEnd"/>
    </w:p>
    <w:p w14:paraId="0C0DA862" w14:textId="77777777" w:rsidR="005D0D0D" w:rsidRDefault="005D0D0D" w:rsidP="005D0D0D">
      <w:pPr>
        <w:pStyle w:val="ListBullet"/>
      </w:pPr>
      <w:r>
        <w:t xml:space="preserve">the processes, policies and systems that support the department’s engagement with livestock export </w:t>
      </w:r>
      <w:proofErr w:type="gramStart"/>
      <w:r>
        <w:t>stakeholders</w:t>
      </w:r>
      <w:proofErr w:type="gramEnd"/>
    </w:p>
    <w:p w14:paraId="3EBE4C29" w14:textId="116C1B13" w:rsidR="0065401A" w:rsidRDefault="005D0D0D" w:rsidP="009C5476">
      <w:pPr>
        <w:pStyle w:val="ListBullet"/>
      </w:pPr>
      <w:r>
        <w:t>what, if any improvements, should be made to the current arrangements.</w:t>
      </w:r>
    </w:p>
    <w:p w14:paraId="23AE76A2" w14:textId="210563F0" w:rsidR="005D0D0D" w:rsidRDefault="005D0D0D" w:rsidP="005D0D0D">
      <w:pPr>
        <w:pStyle w:val="Heading3"/>
        <w:numPr>
          <w:ilvl w:val="0"/>
          <w:numId w:val="0"/>
        </w:numPr>
        <w:ind w:left="964" w:hanging="964"/>
      </w:pPr>
      <w:bookmarkStart w:id="5" w:name="_Toc131596820"/>
      <w:r>
        <w:t>Scope</w:t>
      </w:r>
      <w:bookmarkEnd w:id="5"/>
    </w:p>
    <w:p w14:paraId="257C8F92" w14:textId="5D1E613D" w:rsidR="00725C66" w:rsidRPr="00725C66" w:rsidRDefault="00725C66" w:rsidP="00725C66">
      <w:pPr>
        <w:rPr>
          <w:lang w:val="en"/>
        </w:rPr>
      </w:pPr>
      <w:r w:rsidRPr="00725C66">
        <w:t>The review considered:</w:t>
      </w:r>
    </w:p>
    <w:p w14:paraId="166A8511" w14:textId="1AC3E5FA" w:rsidR="005D0D0D" w:rsidRPr="005D0D0D" w:rsidRDefault="005C589A" w:rsidP="005D0D0D">
      <w:pPr>
        <w:pStyle w:val="ListBullet"/>
        <w:rPr>
          <w:lang w:val="en"/>
        </w:rPr>
      </w:pPr>
      <w:r>
        <w:rPr>
          <w:lang w:val="en"/>
        </w:rPr>
        <w:t xml:space="preserve">the </w:t>
      </w:r>
      <w:r w:rsidR="005D0D0D" w:rsidRPr="005D0D0D">
        <w:rPr>
          <w:lang w:val="en"/>
        </w:rPr>
        <w:t xml:space="preserve">stakeholder communication and engagement policy </w:t>
      </w:r>
      <w:r w:rsidR="005D0D0D">
        <w:rPr>
          <w:lang w:val="en"/>
        </w:rPr>
        <w:t>of</w:t>
      </w:r>
      <w:r w:rsidR="005D0D0D" w:rsidRPr="005D0D0D">
        <w:rPr>
          <w:lang w:val="en"/>
        </w:rPr>
        <w:t xml:space="preserve"> </w:t>
      </w:r>
      <w:r w:rsidR="005D0D0D">
        <w:rPr>
          <w:lang w:val="en"/>
        </w:rPr>
        <w:t>l</w:t>
      </w:r>
      <w:r w:rsidR="005D0D0D" w:rsidRPr="005D0D0D">
        <w:rPr>
          <w:lang w:val="en"/>
        </w:rPr>
        <w:t>ive</w:t>
      </w:r>
      <w:r w:rsidR="005D0D0D">
        <w:rPr>
          <w:lang w:val="en"/>
        </w:rPr>
        <w:t>stock</w:t>
      </w:r>
      <w:r w:rsidR="005D0D0D" w:rsidRPr="005D0D0D">
        <w:rPr>
          <w:lang w:val="en"/>
        </w:rPr>
        <w:t xml:space="preserve"> </w:t>
      </w:r>
      <w:r w:rsidR="005D0D0D">
        <w:rPr>
          <w:lang w:val="en"/>
        </w:rPr>
        <w:t>e</w:t>
      </w:r>
      <w:r w:rsidR="005D0D0D" w:rsidRPr="005D0D0D">
        <w:rPr>
          <w:lang w:val="en"/>
        </w:rPr>
        <w:t>xports</w:t>
      </w:r>
    </w:p>
    <w:p w14:paraId="0F7F9381" w14:textId="687B07F0" w:rsidR="005D0D0D" w:rsidRPr="005D0D0D" w:rsidRDefault="005D0D0D" w:rsidP="005D0D0D">
      <w:pPr>
        <w:pStyle w:val="ListBullet"/>
        <w:rPr>
          <w:lang w:val="en"/>
        </w:rPr>
      </w:pPr>
      <w:r w:rsidRPr="005D0D0D">
        <w:rPr>
          <w:lang w:val="en"/>
        </w:rPr>
        <w:t xml:space="preserve">approaches employed to engage </w:t>
      </w:r>
      <w:proofErr w:type="gramStart"/>
      <w:r w:rsidRPr="005D0D0D">
        <w:rPr>
          <w:lang w:val="en"/>
        </w:rPr>
        <w:t>stakeholders</w:t>
      </w:r>
      <w:proofErr w:type="gramEnd"/>
    </w:p>
    <w:p w14:paraId="2C4A636D" w14:textId="358F6664" w:rsidR="005D0D0D" w:rsidRPr="005D0D0D" w:rsidRDefault="005D0D0D" w:rsidP="005D0D0D">
      <w:pPr>
        <w:pStyle w:val="ListBullet"/>
        <w:rPr>
          <w:lang w:val="en"/>
        </w:rPr>
      </w:pPr>
      <w:r w:rsidRPr="005D0D0D">
        <w:rPr>
          <w:lang w:val="en"/>
        </w:rPr>
        <w:t>response</w:t>
      </w:r>
      <w:r w:rsidR="00147C06">
        <w:rPr>
          <w:lang w:val="en"/>
        </w:rPr>
        <w:t>s</w:t>
      </w:r>
      <w:r w:rsidRPr="005D0D0D">
        <w:rPr>
          <w:lang w:val="en"/>
        </w:rPr>
        <w:t xml:space="preserve"> to </w:t>
      </w:r>
      <w:r w:rsidR="00373C78">
        <w:rPr>
          <w:lang w:val="en"/>
        </w:rPr>
        <w:t>e</w:t>
      </w:r>
      <w:r w:rsidRPr="005D0D0D">
        <w:rPr>
          <w:lang w:val="en"/>
        </w:rPr>
        <w:t>nquiries, reports, complaints, and allegations of non-compliance</w:t>
      </w:r>
    </w:p>
    <w:p w14:paraId="3CD522D7" w14:textId="77777777" w:rsidR="005D0D0D" w:rsidRPr="005D0D0D" w:rsidRDefault="005D0D0D" w:rsidP="005D0D0D">
      <w:pPr>
        <w:pStyle w:val="ListBullet"/>
        <w:rPr>
          <w:lang w:val="en"/>
        </w:rPr>
      </w:pPr>
      <w:r w:rsidRPr="005D0D0D">
        <w:rPr>
          <w:lang w:val="en"/>
        </w:rPr>
        <w:t>the investigation of complaints and allegations of non-compliance</w:t>
      </w:r>
    </w:p>
    <w:p w14:paraId="57A66E91" w14:textId="18EDB8EC" w:rsidR="005D0D0D" w:rsidRPr="005D0D0D" w:rsidRDefault="005D0D0D" w:rsidP="005D0D0D">
      <w:pPr>
        <w:pStyle w:val="ListBullet"/>
        <w:rPr>
          <w:lang w:val="en"/>
        </w:rPr>
      </w:pPr>
      <w:r w:rsidRPr="005D0D0D">
        <w:rPr>
          <w:lang w:val="en"/>
        </w:rPr>
        <w:t xml:space="preserve">systems, processes and timeliness of responses, and the nature of responses to </w:t>
      </w:r>
      <w:r w:rsidR="00373C78">
        <w:rPr>
          <w:lang w:val="en"/>
        </w:rPr>
        <w:t>e</w:t>
      </w:r>
      <w:r w:rsidRPr="005D0D0D">
        <w:rPr>
          <w:lang w:val="en"/>
        </w:rPr>
        <w:t>nquiries, reports, complaints, and allegations of non-compliance</w:t>
      </w:r>
    </w:p>
    <w:p w14:paraId="26EC9010" w14:textId="77777777" w:rsidR="005D0D0D" w:rsidRPr="005D0D0D" w:rsidRDefault="005D0D0D" w:rsidP="005D0D0D">
      <w:pPr>
        <w:pStyle w:val="ListBullet"/>
        <w:rPr>
          <w:lang w:val="en"/>
        </w:rPr>
      </w:pPr>
      <w:r w:rsidRPr="005D0D0D">
        <w:rPr>
          <w:lang w:val="en"/>
        </w:rPr>
        <w:t>information web pages</w:t>
      </w:r>
    </w:p>
    <w:p w14:paraId="4482390E" w14:textId="6EF432B1" w:rsidR="00725C66" w:rsidRPr="005D0D0D" w:rsidRDefault="005D0D0D" w:rsidP="009C5476">
      <w:pPr>
        <w:pStyle w:val="ListBullet"/>
        <w:rPr>
          <w:lang w:val="en"/>
        </w:rPr>
      </w:pPr>
      <w:r w:rsidRPr="005D0D0D">
        <w:rPr>
          <w:lang w:val="en"/>
        </w:rPr>
        <w:t>privacy and confidentiality</w:t>
      </w:r>
      <w:r w:rsidR="00C41EED">
        <w:rPr>
          <w:lang w:val="en"/>
        </w:rPr>
        <w:t>.</w:t>
      </w:r>
    </w:p>
    <w:p w14:paraId="36FE388A" w14:textId="77777777" w:rsidR="0065401A" w:rsidRDefault="005D0729">
      <w:pPr>
        <w:pStyle w:val="Heading3"/>
        <w:numPr>
          <w:ilvl w:val="0"/>
          <w:numId w:val="0"/>
        </w:numPr>
        <w:ind w:left="964" w:hanging="964"/>
      </w:pPr>
      <w:bookmarkStart w:id="6" w:name="_Toc131596821"/>
      <w:r>
        <w:t>Out of scope</w:t>
      </w:r>
      <w:bookmarkEnd w:id="6"/>
    </w:p>
    <w:p w14:paraId="4426B03B" w14:textId="45151DAF" w:rsidR="0065401A" w:rsidRDefault="005D0729" w:rsidP="00CE0C80">
      <w:r>
        <w:t>Th</w:t>
      </w:r>
      <w:r w:rsidR="00B97DE2">
        <w:t>e</w:t>
      </w:r>
      <w:r>
        <w:t xml:space="preserve"> review did not examine</w:t>
      </w:r>
      <w:r w:rsidR="005D0D0D">
        <w:t xml:space="preserve"> stakeholder engagement activities not related to livestock exports</w:t>
      </w:r>
      <w:r w:rsidR="00CE0C80">
        <w:t>.</w:t>
      </w:r>
    </w:p>
    <w:p w14:paraId="13C4DBAC" w14:textId="65E6B129" w:rsidR="00CE0C80" w:rsidRDefault="00CE0C80" w:rsidP="00CE0C80">
      <w:pPr>
        <w:pStyle w:val="Heading3"/>
        <w:numPr>
          <w:ilvl w:val="0"/>
          <w:numId w:val="0"/>
        </w:numPr>
        <w:ind w:left="964" w:hanging="964"/>
      </w:pPr>
      <w:bookmarkStart w:id="7" w:name="_Toc131596822"/>
      <w:r>
        <w:t>Methodology</w:t>
      </w:r>
      <w:bookmarkEnd w:id="7"/>
    </w:p>
    <w:p w14:paraId="329B047C" w14:textId="48925017" w:rsidR="0065401A" w:rsidRDefault="005D0729" w:rsidP="00CB58C7">
      <w:pPr>
        <w:pStyle w:val="ListBullet"/>
        <w:numPr>
          <w:ilvl w:val="0"/>
          <w:numId w:val="0"/>
        </w:numPr>
      </w:pPr>
      <w:r>
        <w:t xml:space="preserve">During this review, the </w:t>
      </w:r>
      <w:r w:rsidR="00CE0C80">
        <w:rPr>
          <w:lang w:val="en"/>
        </w:rPr>
        <w:t>inspector-general</w:t>
      </w:r>
      <w:r>
        <w:t>:</w:t>
      </w:r>
    </w:p>
    <w:p w14:paraId="68D04FC3" w14:textId="77777777" w:rsidR="002F4BD2" w:rsidRPr="00E067BC" w:rsidRDefault="002F4BD2" w:rsidP="00E067BC">
      <w:pPr>
        <w:pStyle w:val="ListBullet"/>
      </w:pPr>
      <w:r w:rsidRPr="00E067BC">
        <w:t>conducted an entry meeting with the department’s executives to</w:t>
      </w:r>
    </w:p>
    <w:p w14:paraId="1A90CFB9" w14:textId="77777777" w:rsidR="002F4BD2" w:rsidRPr="00310A95" w:rsidRDefault="002F4BD2" w:rsidP="002F4BD2">
      <w:pPr>
        <w:pStyle w:val="ListBullet2"/>
        <w:rPr>
          <w:rFonts w:asciiTheme="majorHAnsi" w:hAnsiTheme="majorHAnsi"/>
        </w:rPr>
      </w:pPr>
      <w:r>
        <w:rPr>
          <w:rFonts w:asciiTheme="majorHAnsi" w:hAnsiTheme="majorHAnsi"/>
        </w:rPr>
        <w:t>c</w:t>
      </w:r>
      <w:r w:rsidRPr="00310A95">
        <w:rPr>
          <w:rFonts w:asciiTheme="majorHAnsi" w:hAnsiTheme="majorHAnsi"/>
        </w:rPr>
        <w:t xml:space="preserve">ommunicate the review’s objectives and </w:t>
      </w:r>
      <w:proofErr w:type="gramStart"/>
      <w:r w:rsidRPr="00310A95">
        <w:rPr>
          <w:rFonts w:asciiTheme="majorHAnsi" w:hAnsiTheme="majorHAnsi"/>
        </w:rPr>
        <w:t>scope</w:t>
      </w:r>
      <w:proofErr w:type="gramEnd"/>
    </w:p>
    <w:p w14:paraId="407DA48E" w14:textId="77777777" w:rsidR="002F4BD2" w:rsidRPr="00310A95" w:rsidRDefault="002F4BD2" w:rsidP="002F4BD2">
      <w:pPr>
        <w:pStyle w:val="ListBullet2"/>
        <w:rPr>
          <w:rFonts w:asciiTheme="majorHAnsi" w:hAnsiTheme="majorHAnsi"/>
        </w:rPr>
      </w:pPr>
      <w:r w:rsidRPr="00310A95">
        <w:rPr>
          <w:rFonts w:asciiTheme="majorHAnsi" w:hAnsiTheme="majorHAnsi"/>
        </w:rPr>
        <w:t>outline responsibilities</w:t>
      </w:r>
    </w:p>
    <w:p w14:paraId="2F1EA5D7" w14:textId="77777777" w:rsidR="002F4BD2" w:rsidRPr="00310A95" w:rsidRDefault="002F4BD2" w:rsidP="002F4BD2">
      <w:pPr>
        <w:pStyle w:val="ListBullet2"/>
        <w:rPr>
          <w:rFonts w:asciiTheme="majorHAnsi" w:hAnsiTheme="majorHAnsi"/>
        </w:rPr>
      </w:pPr>
      <w:r w:rsidRPr="00310A95">
        <w:rPr>
          <w:rFonts w:asciiTheme="majorHAnsi" w:hAnsiTheme="majorHAnsi"/>
        </w:rPr>
        <w:t xml:space="preserve">identify risks related to the review and any appropriate mitigation </w:t>
      </w:r>
      <w:proofErr w:type="gramStart"/>
      <w:r w:rsidRPr="00310A95">
        <w:rPr>
          <w:rFonts w:asciiTheme="majorHAnsi" w:hAnsiTheme="majorHAnsi"/>
        </w:rPr>
        <w:t>strategies</w:t>
      </w:r>
      <w:proofErr w:type="gramEnd"/>
    </w:p>
    <w:p w14:paraId="45CD032B" w14:textId="77777777" w:rsidR="002F4BD2" w:rsidRDefault="002F4BD2" w:rsidP="002F4BD2">
      <w:pPr>
        <w:pStyle w:val="ListBullet2"/>
        <w:rPr>
          <w:rFonts w:asciiTheme="majorHAnsi" w:hAnsiTheme="majorHAnsi"/>
        </w:rPr>
      </w:pPr>
      <w:r w:rsidRPr="00A515F0">
        <w:rPr>
          <w:rFonts w:asciiTheme="majorHAnsi" w:hAnsiTheme="majorHAnsi"/>
        </w:rPr>
        <w:t>discuss preliminary data</w:t>
      </w:r>
      <w:r>
        <w:rPr>
          <w:rFonts w:asciiTheme="majorHAnsi" w:hAnsiTheme="majorHAnsi"/>
        </w:rPr>
        <w:t xml:space="preserve"> and </w:t>
      </w:r>
      <w:r w:rsidRPr="00A515F0">
        <w:rPr>
          <w:rFonts w:asciiTheme="majorHAnsi" w:hAnsiTheme="majorHAnsi"/>
        </w:rPr>
        <w:t xml:space="preserve">information </w:t>
      </w:r>
      <w:proofErr w:type="gramStart"/>
      <w:r w:rsidRPr="00A515F0">
        <w:rPr>
          <w:rFonts w:asciiTheme="majorHAnsi" w:hAnsiTheme="majorHAnsi"/>
        </w:rPr>
        <w:t>requirements</w:t>
      </w:r>
      <w:proofErr w:type="gramEnd"/>
    </w:p>
    <w:p w14:paraId="64FF6F32" w14:textId="77777777" w:rsidR="002F4BD2" w:rsidRPr="00310A95" w:rsidRDefault="002F4BD2" w:rsidP="002F4BD2">
      <w:pPr>
        <w:pStyle w:val="ListBullet2"/>
        <w:rPr>
          <w:rFonts w:asciiTheme="majorHAnsi" w:hAnsiTheme="majorHAnsi"/>
        </w:rPr>
      </w:pPr>
      <w:r w:rsidRPr="00310A95">
        <w:rPr>
          <w:rFonts w:asciiTheme="majorHAnsi" w:hAnsiTheme="majorHAnsi"/>
        </w:rPr>
        <w:t xml:space="preserve">provide an opportunity for all parties to discuss the proposed review </w:t>
      </w:r>
      <w:proofErr w:type="gramStart"/>
      <w:r w:rsidRPr="00310A95">
        <w:rPr>
          <w:rFonts w:asciiTheme="majorHAnsi" w:hAnsiTheme="majorHAnsi"/>
        </w:rPr>
        <w:t>process</w:t>
      </w:r>
      <w:proofErr w:type="gramEnd"/>
    </w:p>
    <w:p w14:paraId="2196AC15" w14:textId="480FCA05" w:rsidR="00CE0C80" w:rsidRDefault="00CE0C80" w:rsidP="009C5476">
      <w:pPr>
        <w:pStyle w:val="ListBullet"/>
      </w:pPr>
      <w:r w:rsidRPr="00CE0C80">
        <w:t>invited submission</w:t>
      </w:r>
      <w:r w:rsidR="00C306F4">
        <w:t>s</w:t>
      </w:r>
      <w:r w:rsidRPr="00CE0C80">
        <w:t xml:space="preserve"> from </w:t>
      </w:r>
      <w:proofErr w:type="gramStart"/>
      <w:r w:rsidRPr="00CE0C80">
        <w:t>stakeholders</w:t>
      </w:r>
      <w:proofErr w:type="gramEnd"/>
    </w:p>
    <w:p w14:paraId="0E12DAFE" w14:textId="37C0FB24" w:rsidR="00CE0C80" w:rsidRPr="00310A95" w:rsidRDefault="002F4BD2" w:rsidP="009C5476">
      <w:pPr>
        <w:pStyle w:val="ListBullet"/>
      </w:pPr>
      <w:r>
        <w:t>c</w:t>
      </w:r>
      <w:r w:rsidRPr="00310A95">
        <w:t>onducted in-person</w:t>
      </w:r>
      <w:r>
        <w:t xml:space="preserve"> and </w:t>
      </w:r>
      <w:r w:rsidRPr="00310A95">
        <w:t xml:space="preserve">phone meetings with </w:t>
      </w:r>
      <w:proofErr w:type="gramStart"/>
      <w:r w:rsidRPr="00310A95">
        <w:t>stakeholders</w:t>
      </w:r>
      <w:proofErr w:type="gramEnd"/>
    </w:p>
    <w:p w14:paraId="34059A60" w14:textId="77777777" w:rsidR="002F4BD2" w:rsidRPr="00EC402D" w:rsidRDefault="002F4BD2" w:rsidP="002F4BD2">
      <w:pPr>
        <w:pStyle w:val="ListBullet"/>
      </w:pPr>
      <w:r w:rsidRPr="00EC402D">
        <w:t>conduct</w:t>
      </w:r>
      <w:r>
        <w:t>ed</w:t>
      </w:r>
      <w:r w:rsidRPr="00EC402D">
        <w:t xml:space="preserve"> a desk-top audit of relevant department data and documentation (such as instructional material, </w:t>
      </w:r>
      <w:proofErr w:type="gramStart"/>
      <w:r w:rsidRPr="00EC402D">
        <w:t>policies</w:t>
      </w:r>
      <w:proofErr w:type="gramEnd"/>
      <w:r w:rsidRPr="00EC402D">
        <w:t xml:space="preserve"> and communications material)</w:t>
      </w:r>
    </w:p>
    <w:p w14:paraId="56002FC3" w14:textId="1F044152" w:rsidR="002F4BD2" w:rsidRPr="00EC402D" w:rsidRDefault="002F4BD2" w:rsidP="002F4BD2">
      <w:pPr>
        <w:pStyle w:val="ListBullet"/>
      </w:pPr>
      <w:r w:rsidRPr="00EC402D">
        <w:t>undert</w:t>
      </w:r>
      <w:r>
        <w:t>ook</w:t>
      </w:r>
      <w:r w:rsidRPr="00EC402D">
        <w:t xml:space="preserve"> fieldwork to discuss</w:t>
      </w:r>
      <w:r w:rsidR="003E3A3E">
        <w:t xml:space="preserve"> and</w:t>
      </w:r>
      <w:r w:rsidRPr="00EC402D">
        <w:t xml:space="preserve"> observe</w:t>
      </w:r>
      <w:r w:rsidR="005C1C08">
        <w:t xml:space="preserve"> </w:t>
      </w:r>
      <w:r w:rsidRPr="00EC402D">
        <w:t xml:space="preserve">the department’s procedures and </w:t>
      </w:r>
      <w:proofErr w:type="gramStart"/>
      <w:r w:rsidRPr="00EC402D">
        <w:t>operations</w:t>
      </w:r>
      <w:proofErr w:type="gramEnd"/>
    </w:p>
    <w:p w14:paraId="60353257" w14:textId="77777777" w:rsidR="002F4BD2" w:rsidRPr="00EC402D" w:rsidRDefault="002F4BD2" w:rsidP="002F4BD2">
      <w:pPr>
        <w:pStyle w:val="ListBullet"/>
      </w:pPr>
      <w:r w:rsidRPr="00EC402D">
        <w:lastRenderedPageBreak/>
        <w:t>develop</w:t>
      </w:r>
      <w:r>
        <w:t>ed</w:t>
      </w:r>
      <w:r w:rsidRPr="00EC402D">
        <w:t xml:space="preserve"> a draft review report with key findings and </w:t>
      </w:r>
      <w:proofErr w:type="gramStart"/>
      <w:r w:rsidRPr="00EC402D">
        <w:t>recommendations</w:t>
      </w:r>
      <w:proofErr w:type="gramEnd"/>
    </w:p>
    <w:p w14:paraId="73D92006" w14:textId="77777777" w:rsidR="002F4BD2" w:rsidRPr="00EC402D" w:rsidRDefault="002F4BD2" w:rsidP="002F4BD2">
      <w:pPr>
        <w:pStyle w:val="ListBullet"/>
      </w:pPr>
      <w:r w:rsidRPr="00EC402D">
        <w:t>conduct</w:t>
      </w:r>
      <w:r>
        <w:t>ed</w:t>
      </w:r>
      <w:r w:rsidRPr="00EC402D">
        <w:t xml:space="preserve"> an exit meeting with department</w:t>
      </w:r>
      <w:r>
        <w:t>al</w:t>
      </w:r>
      <w:r w:rsidRPr="00EC402D">
        <w:t xml:space="preserve"> executives t</w:t>
      </w:r>
      <w:r>
        <w:t>hat</w:t>
      </w:r>
      <w:r w:rsidRPr="00EC402D">
        <w:t>:</w:t>
      </w:r>
    </w:p>
    <w:p w14:paraId="6BAE8003" w14:textId="77777777" w:rsidR="002F4BD2" w:rsidRPr="00EC402D" w:rsidRDefault="002F4BD2" w:rsidP="002F4BD2">
      <w:pPr>
        <w:pStyle w:val="ListBullet2"/>
      </w:pPr>
      <w:r w:rsidRPr="00EC402D">
        <w:t>provide</w:t>
      </w:r>
      <w:r>
        <w:t>d</w:t>
      </w:r>
      <w:r w:rsidRPr="00EC402D">
        <w:t xml:space="preserve"> an overview of initial review </w:t>
      </w:r>
      <w:proofErr w:type="gramStart"/>
      <w:r w:rsidRPr="00EC402D">
        <w:t>findings</w:t>
      </w:r>
      <w:proofErr w:type="gramEnd"/>
    </w:p>
    <w:p w14:paraId="2071DA6B" w14:textId="77777777" w:rsidR="002F4BD2" w:rsidRPr="00EC402D" w:rsidRDefault="002F4BD2" w:rsidP="002F4BD2">
      <w:pPr>
        <w:pStyle w:val="ListBullet2"/>
      </w:pPr>
      <w:r w:rsidRPr="00EC402D">
        <w:t>outline</w:t>
      </w:r>
      <w:r>
        <w:t>d</w:t>
      </w:r>
      <w:r w:rsidRPr="00EC402D">
        <w:t xml:space="preserve"> the process of release </w:t>
      </w:r>
      <w:r>
        <w:t xml:space="preserve">of </w:t>
      </w:r>
      <w:r w:rsidRPr="00EC402D">
        <w:t xml:space="preserve">and response </w:t>
      </w:r>
      <w:r>
        <w:t>to</w:t>
      </w:r>
      <w:r w:rsidRPr="00EC402D">
        <w:t xml:space="preserve"> the issues paper and draft </w:t>
      </w:r>
      <w:proofErr w:type="gramStart"/>
      <w:r w:rsidRPr="00EC402D">
        <w:t>report</w:t>
      </w:r>
      <w:proofErr w:type="gramEnd"/>
    </w:p>
    <w:p w14:paraId="4AD500EE" w14:textId="77777777" w:rsidR="002F4BD2" w:rsidRPr="00EC402D" w:rsidRDefault="002F4BD2" w:rsidP="002F4BD2">
      <w:pPr>
        <w:pStyle w:val="ListBullet"/>
      </w:pPr>
      <w:r w:rsidRPr="00EC402D">
        <w:t>request</w:t>
      </w:r>
      <w:r>
        <w:t>ed</w:t>
      </w:r>
      <w:r w:rsidRPr="00EC402D">
        <w:t xml:space="preserve"> a fact check by the department’s relevant line areas to correct any factual errors or misinterpretations of evidence and to provide further </w:t>
      </w:r>
      <w:proofErr w:type="gramStart"/>
      <w:r w:rsidRPr="00EC402D">
        <w:t>evidence</w:t>
      </w:r>
      <w:proofErr w:type="gramEnd"/>
    </w:p>
    <w:p w14:paraId="68917DEE" w14:textId="54701EEB" w:rsidR="002F4BD2" w:rsidRPr="00EC402D" w:rsidRDefault="002F4BD2" w:rsidP="002F4BD2">
      <w:pPr>
        <w:pStyle w:val="ListBullet"/>
      </w:pPr>
      <w:r w:rsidRPr="00EC402D">
        <w:t>request</w:t>
      </w:r>
      <w:r>
        <w:t>ed that</w:t>
      </w:r>
      <w:r w:rsidRPr="00EC402D">
        <w:t xml:space="preserve"> the </w:t>
      </w:r>
      <w:r w:rsidR="00DB55B9">
        <w:t>s</w:t>
      </w:r>
      <w:r w:rsidRPr="00EC402D">
        <w:t xml:space="preserve">ecretary provide a management response to the draft review </w:t>
      </w:r>
      <w:proofErr w:type="gramStart"/>
      <w:r w:rsidRPr="00EC402D">
        <w:t>report</w:t>
      </w:r>
      <w:proofErr w:type="gramEnd"/>
    </w:p>
    <w:p w14:paraId="706CAC9E" w14:textId="3C7A6365" w:rsidR="00725C66" w:rsidRDefault="002F4BD2" w:rsidP="009C5476">
      <w:pPr>
        <w:pStyle w:val="ListBullet"/>
      </w:pPr>
      <w:r w:rsidRPr="00EC402D">
        <w:t>provide</w:t>
      </w:r>
      <w:r>
        <w:t>d</w:t>
      </w:r>
      <w:r w:rsidRPr="00EC402D">
        <w:t xml:space="preserve"> a final report to the Minister </w:t>
      </w:r>
      <w:r>
        <w:t xml:space="preserve">for Agriculture, Fisheries and Forestry </w:t>
      </w:r>
      <w:r w:rsidRPr="00EC402D">
        <w:t>and publish</w:t>
      </w:r>
      <w:r>
        <w:t>ed</w:t>
      </w:r>
      <w:r w:rsidRPr="00EC402D">
        <w:t xml:space="preserve"> it on the </w:t>
      </w:r>
      <w:hyperlink r:id="rId16" w:history="1">
        <w:r w:rsidRPr="00FE72EF">
          <w:rPr>
            <w:rStyle w:val="Hyperlink"/>
          </w:rPr>
          <w:t>Inspector-General of Live Animal Exports website</w:t>
        </w:r>
      </w:hyperlink>
      <w:r w:rsidRPr="00EC402D">
        <w:t>.</w:t>
      </w:r>
    </w:p>
    <w:p w14:paraId="3A744D26" w14:textId="4494DD5E" w:rsidR="0065401A" w:rsidRDefault="005D0729">
      <w:pPr>
        <w:pStyle w:val="Heading2"/>
        <w:numPr>
          <w:ilvl w:val="0"/>
          <w:numId w:val="0"/>
        </w:numPr>
        <w:ind w:left="720" w:hanging="720"/>
      </w:pPr>
      <w:bookmarkStart w:id="8" w:name="_Toc131596823"/>
      <w:r>
        <w:lastRenderedPageBreak/>
        <w:t>Recommendations and department responses</w:t>
      </w:r>
      <w:bookmarkEnd w:id="8"/>
    </w:p>
    <w:p w14:paraId="1AC077FC" w14:textId="6EE9A2AB" w:rsidR="0065401A" w:rsidRDefault="005D0729">
      <w:pPr>
        <w:rPr>
          <w:lang w:eastAsia="ja-JP"/>
        </w:rPr>
      </w:pPr>
      <w:r>
        <w:rPr>
          <w:lang w:eastAsia="ja-JP"/>
        </w:rPr>
        <w:t xml:space="preserve">The </w:t>
      </w:r>
      <w:r w:rsidR="00CB4539">
        <w:rPr>
          <w:lang w:eastAsia="ja-JP"/>
        </w:rPr>
        <w:t>departmental</w:t>
      </w:r>
      <w:r>
        <w:rPr>
          <w:lang w:eastAsia="ja-JP"/>
        </w:rPr>
        <w:t xml:space="preserve"> response to the recommendations is at </w:t>
      </w:r>
      <w:hyperlink w:anchor="_Appendix_A:_Department’s" w:history="1">
        <w:r>
          <w:rPr>
            <w:rStyle w:val="Hyperlink"/>
            <w:lang w:eastAsia="ja-JP"/>
          </w:rPr>
          <w:t>Appendix A</w:t>
        </w:r>
      </w:hyperlink>
      <w:r>
        <w:rPr>
          <w:lang w:eastAsia="ja-JP"/>
        </w:rPr>
        <w:t>.</w:t>
      </w:r>
    </w:p>
    <w:p w14:paraId="64C7B578" w14:textId="7CAAD686" w:rsidR="0065401A" w:rsidRDefault="005D0729" w:rsidP="00CE0C80">
      <w:pPr>
        <w:pStyle w:val="BoxHeading"/>
        <w:rPr>
          <w:lang w:eastAsia="ja-JP"/>
        </w:rPr>
      </w:pPr>
      <w:r>
        <w:rPr>
          <w:lang w:eastAsia="ja-JP"/>
        </w:rPr>
        <w:t>Recommendation 1</w:t>
      </w:r>
    </w:p>
    <w:p w14:paraId="32236723" w14:textId="6E227827" w:rsidR="001C013C" w:rsidRPr="001C013C" w:rsidRDefault="001C013C" w:rsidP="001C013C">
      <w:pPr>
        <w:pStyle w:val="BoxText"/>
        <w:rPr>
          <w:lang w:eastAsia="ja-JP"/>
        </w:rPr>
      </w:pPr>
      <w:bookmarkStart w:id="9" w:name="_Hlk130993157"/>
      <w:r w:rsidRPr="001C013C">
        <w:rPr>
          <w:lang w:eastAsia="ja-JP"/>
        </w:rPr>
        <w:t xml:space="preserve">The department should increase meetings </w:t>
      </w:r>
      <w:r w:rsidR="00485C81">
        <w:rPr>
          <w:lang w:eastAsia="ja-JP"/>
        </w:rPr>
        <w:t xml:space="preserve">or workshops </w:t>
      </w:r>
      <w:r w:rsidRPr="001C013C">
        <w:rPr>
          <w:lang w:eastAsia="ja-JP"/>
        </w:rPr>
        <w:t>with stakeholders to ensure that those who are time constrained from providing formal submissions can be heard. This should target stakeholder segments to ensure that regional differences are identified, and so that stakeholders with widely disparate positions are heard separately.</w:t>
      </w:r>
    </w:p>
    <w:bookmarkEnd w:id="9"/>
    <w:p w14:paraId="005CC742" w14:textId="61C7BD69" w:rsidR="00FB2D3B" w:rsidRPr="004D4289" w:rsidRDefault="005D0729" w:rsidP="004D4289">
      <w:pPr>
        <w:pStyle w:val="BoxHeading"/>
      </w:pPr>
      <w:r w:rsidRPr="004D4289">
        <w:t>Department’s response:</w:t>
      </w:r>
    </w:p>
    <w:p w14:paraId="73344E06" w14:textId="6989B979" w:rsidR="00FB2D3B" w:rsidRDefault="00FB2D3B" w:rsidP="00FB2D3B">
      <w:pPr>
        <w:pStyle w:val="BoxText"/>
      </w:pPr>
      <w:r>
        <w:t>Agreed</w:t>
      </w:r>
    </w:p>
    <w:p w14:paraId="04977C05" w14:textId="46BA46A0" w:rsidR="00FB2D3B" w:rsidRDefault="00FB2D3B" w:rsidP="00FB2D3B">
      <w:pPr>
        <w:pStyle w:val="BoxText"/>
      </w:pPr>
      <w:r>
        <w:t xml:space="preserve">The department uses many engagement strategies and platforms, as described in our “Stakeholder Communication and Engagement Policy Live animal exports” published on our website, and, also, depending on the purpose of specific communication, </w:t>
      </w:r>
      <w:proofErr w:type="gramStart"/>
      <w:r>
        <w:t>consultation</w:t>
      </w:r>
      <w:proofErr w:type="gramEnd"/>
      <w:r>
        <w:t xml:space="preserve"> or other engagement. The department also invites direct input (both formal and informal) from stakeholders through email, web content, </w:t>
      </w:r>
      <w:proofErr w:type="gramStart"/>
      <w:r>
        <w:t>telephone</w:t>
      </w:r>
      <w:proofErr w:type="gramEnd"/>
      <w:r>
        <w:t xml:space="preserve"> and face-to-face meetings.</w:t>
      </w:r>
    </w:p>
    <w:p w14:paraId="4E758E1A" w14:textId="427D7600" w:rsidR="00300602" w:rsidRPr="006251EF" w:rsidRDefault="00FB2D3B" w:rsidP="00FB2D3B">
      <w:pPr>
        <w:pStyle w:val="BoxText"/>
      </w:pPr>
      <w:r>
        <w:t>To continue to support stakeholders’ participation, we will update our “Stakeholder Communication and Engagement Policy Live Animal Exports” and publish a summary of consultation undertaken for future reviews. We will also reiterate guidance when seeking public comment on draft reports and will continue to invite stakeholders to engage with us on an individual or group basis, particularly if they have difficulties or concerns about providing a formal submission.</w:t>
      </w:r>
    </w:p>
    <w:p w14:paraId="64D9AF8F" w14:textId="24FE5FFD" w:rsidR="006251EF" w:rsidRPr="00300602" w:rsidRDefault="006251EF" w:rsidP="00300602">
      <w:pPr>
        <w:sectPr w:rsidR="006251EF" w:rsidRPr="00300602" w:rsidSect="00655A6E">
          <w:headerReference w:type="default" r:id="rId17"/>
          <w:footerReference w:type="default" r:id="rId18"/>
          <w:headerReference w:type="first" r:id="rId19"/>
          <w:type w:val="continuous"/>
          <w:pgSz w:w="11906" w:h="16838"/>
          <w:pgMar w:top="1418" w:right="1418" w:bottom="1418" w:left="1418" w:header="567" w:footer="283" w:gutter="0"/>
          <w:pgNumType w:fmt="lowerRoman" w:start="1"/>
          <w:cols w:space="708"/>
          <w:titlePg/>
          <w:docGrid w:linePitch="360"/>
        </w:sectPr>
      </w:pPr>
    </w:p>
    <w:p w14:paraId="262EC88F" w14:textId="126095FF" w:rsidR="0065401A" w:rsidRDefault="005D0729" w:rsidP="00655A6E">
      <w:pPr>
        <w:pStyle w:val="BoxHeading"/>
        <w:rPr>
          <w:lang w:eastAsia="ja-JP"/>
        </w:rPr>
      </w:pPr>
      <w:r>
        <w:rPr>
          <w:lang w:eastAsia="ja-JP"/>
        </w:rPr>
        <w:t>Recommendation 2</w:t>
      </w:r>
    </w:p>
    <w:p w14:paraId="771A3A20" w14:textId="77777777" w:rsidR="001C013C" w:rsidRPr="001C013C" w:rsidRDefault="001C013C" w:rsidP="001C013C">
      <w:pPr>
        <w:pStyle w:val="BoxText"/>
      </w:pPr>
      <w:bookmarkStart w:id="10" w:name="_Hlk130993727"/>
      <w:r w:rsidRPr="001C013C">
        <w:t>When the department undertakes a formal consultation process the subsequent decision should include a ‘response to submissions’ to inform stakeholders who made submissions of how their concerns were considered.</w:t>
      </w:r>
    </w:p>
    <w:bookmarkEnd w:id="10"/>
    <w:p w14:paraId="76ECD8ED" w14:textId="2311AD28" w:rsidR="00655A6E" w:rsidRPr="008863BC" w:rsidRDefault="005D0729" w:rsidP="008863BC">
      <w:pPr>
        <w:pStyle w:val="BoxHeading"/>
      </w:pPr>
      <w:r w:rsidRPr="008863BC">
        <w:t>Department’s response:</w:t>
      </w:r>
    </w:p>
    <w:p w14:paraId="782C8FB9" w14:textId="1FD93A80" w:rsidR="00300602" w:rsidRDefault="00967B64" w:rsidP="00300602">
      <w:pPr>
        <w:pStyle w:val="BoxText"/>
      </w:pPr>
      <w:r>
        <w:t>Agreed</w:t>
      </w:r>
    </w:p>
    <w:p w14:paraId="6BA5FCE4" w14:textId="651D769C" w:rsidR="00967B64" w:rsidRDefault="00967B64" w:rsidP="00300602">
      <w:pPr>
        <w:pStyle w:val="BoxText"/>
      </w:pPr>
      <w:r w:rsidRPr="00967B64">
        <w:t>For each formal consultation process, the Live Animal Exports program will adopt a policy to include a summary of the themes to submissions or discussion in the final report.</w:t>
      </w:r>
    </w:p>
    <w:p w14:paraId="20882C21" w14:textId="36F2801C" w:rsidR="006251EF" w:rsidRPr="001549BA" w:rsidRDefault="006251EF" w:rsidP="001549BA">
      <w:pPr>
        <w:sectPr w:rsidR="006251EF" w:rsidRPr="001549BA" w:rsidSect="00655A6E">
          <w:type w:val="continuous"/>
          <w:pgSz w:w="11906" w:h="16838"/>
          <w:pgMar w:top="1418" w:right="1418" w:bottom="1418" w:left="1418" w:header="567" w:footer="283" w:gutter="0"/>
          <w:pgNumType w:fmt="lowerRoman" w:start="1"/>
          <w:cols w:space="708"/>
          <w:titlePg/>
          <w:docGrid w:linePitch="360"/>
        </w:sectPr>
      </w:pPr>
    </w:p>
    <w:p w14:paraId="44A3C292" w14:textId="7F7D79B3" w:rsidR="0065401A" w:rsidRDefault="005D0729" w:rsidP="00655A6E">
      <w:pPr>
        <w:pStyle w:val="BoxHeading"/>
        <w:rPr>
          <w:lang w:eastAsia="ja-JP"/>
        </w:rPr>
      </w:pPr>
      <w:bookmarkStart w:id="11" w:name="_Hlk129170142"/>
      <w:r>
        <w:rPr>
          <w:lang w:eastAsia="ja-JP"/>
        </w:rPr>
        <w:t>Recommendation 3</w:t>
      </w:r>
    </w:p>
    <w:p w14:paraId="0D29490B" w14:textId="77777777" w:rsidR="001C013C" w:rsidRPr="001C013C" w:rsidRDefault="001C013C" w:rsidP="001C013C">
      <w:pPr>
        <w:pStyle w:val="BoxText"/>
        <w:rPr>
          <w:lang w:eastAsia="ja-JP"/>
        </w:rPr>
      </w:pPr>
      <w:r w:rsidRPr="001C013C">
        <w:rPr>
          <w:lang w:eastAsia="ja-JP"/>
        </w:rPr>
        <w:t>The department should develop an annual regulatory activity report and publish it on its website.</w:t>
      </w:r>
    </w:p>
    <w:p w14:paraId="761E5DD2" w14:textId="50674042" w:rsidR="00655A6E" w:rsidRPr="008863BC" w:rsidRDefault="005D0729" w:rsidP="008863BC">
      <w:pPr>
        <w:pStyle w:val="BoxHeading"/>
      </w:pPr>
      <w:r w:rsidRPr="008863BC">
        <w:t>Department’s response:</w:t>
      </w:r>
      <w:bookmarkEnd w:id="11"/>
    </w:p>
    <w:p w14:paraId="6EB85EBC" w14:textId="747853E4" w:rsidR="006251EF" w:rsidRDefault="008436BA" w:rsidP="001549BA">
      <w:pPr>
        <w:pStyle w:val="BoxText"/>
      </w:pPr>
      <w:r>
        <w:t>Agreed</w:t>
      </w:r>
    </w:p>
    <w:p w14:paraId="47375447" w14:textId="6D4CFEA4" w:rsidR="008436BA" w:rsidRDefault="008436BA" w:rsidP="001549BA">
      <w:pPr>
        <w:pStyle w:val="BoxText"/>
      </w:pPr>
      <w:r w:rsidRPr="008436BA">
        <w:t>We will publish additional information about our regulatory activities (</w:t>
      </w:r>
      <w:proofErr w:type="gramStart"/>
      <w:r w:rsidRPr="008436BA">
        <w:t>e.g.</w:t>
      </w:r>
      <w:proofErr w:type="gramEnd"/>
      <w:r w:rsidRPr="008436BA">
        <w:t xml:space="preserve"> number of audits and outcomes of investigations) noting the </w:t>
      </w:r>
      <w:r w:rsidRPr="00B05A5E">
        <w:rPr>
          <w:rStyle w:val="Emphasis"/>
        </w:rPr>
        <w:t>Export Control Act 2020</w:t>
      </w:r>
      <w:r w:rsidRPr="008436BA">
        <w:t xml:space="preserve"> may limit the use and disclosure of certain information. It may also not be appropriate to report on matters where parties are seeking review or are subject to legal challenge.</w:t>
      </w:r>
    </w:p>
    <w:p w14:paraId="60C54B80" w14:textId="77777777" w:rsidR="006251EF" w:rsidRDefault="006251EF" w:rsidP="001549BA"/>
    <w:p w14:paraId="6C7144BF" w14:textId="18827B6A" w:rsidR="007F39EC" w:rsidRPr="001549BA" w:rsidRDefault="007F39EC" w:rsidP="001549BA">
      <w:pPr>
        <w:sectPr w:rsidR="007F39EC" w:rsidRPr="001549BA" w:rsidSect="00655A6E">
          <w:type w:val="continuous"/>
          <w:pgSz w:w="11906" w:h="16838"/>
          <w:pgMar w:top="1418" w:right="1418" w:bottom="1418" w:left="1418" w:header="567" w:footer="283" w:gutter="0"/>
          <w:pgNumType w:fmt="lowerRoman" w:start="1"/>
          <w:cols w:space="708"/>
          <w:titlePg/>
          <w:docGrid w:linePitch="360"/>
        </w:sectPr>
      </w:pPr>
    </w:p>
    <w:p w14:paraId="26D3B1CF" w14:textId="7FF7D396" w:rsidR="0065401A" w:rsidRDefault="005D0729" w:rsidP="00655A6E">
      <w:pPr>
        <w:pStyle w:val="BoxHeading"/>
        <w:rPr>
          <w:lang w:eastAsia="ja-JP"/>
        </w:rPr>
      </w:pPr>
      <w:r>
        <w:rPr>
          <w:lang w:eastAsia="ja-JP"/>
        </w:rPr>
        <w:lastRenderedPageBreak/>
        <w:t>Recommendation 4</w:t>
      </w:r>
    </w:p>
    <w:p w14:paraId="662ED152" w14:textId="6C7519A1" w:rsidR="009268A0" w:rsidRDefault="009268A0" w:rsidP="009268A0">
      <w:pPr>
        <w:pStyle w:val="BoxText"/>
        <w:rPr>
          <w:lang w:eastAsia="ja-JP"/>
        </w:rPr>
      </w:pPr>
      <w:bookmarkStart w:id="12" w:name="_Hlk130996713"/>
      <w:r w:rsidRPr="4770B6D3">
        <w:rPr>
          <w:lang w:eastAsia="ja-JP"/>
        </w:rPr>
        <w:t>The department should reformat summary independent observer reports to become outcome reports. The reports need to include all non-compliance against ASEL</w:t>
      </w:r>
      <w:r w:rsidR="00BC11AA">
        <w:rPr>
          <w:lang w:eastAsia="ja-JP"/>
        </w:rPr>
        <w:t>,</w:t>
      </w:r>
      <w:r w:rsidRPr="4770B6D3">
        <w:rPr>
          <w:lang w:eastAsia="ja-JP"/>
        </w:rPr>
        <w:t xml:space="preserve"> observed and verified mortalities, exporter mitigating actions and departmental regulatory actions.</w:t>
      </w:r>
    </w:p>
    <w:bookmarkEnd w:id="12"/>
    <w:p w14:paraId="22591E41" w14:textId="36BF8921" w:rsidR="0065401A" w:rsidRPr="008863BC" w:rsidRDefault="005D0729" w:rsidP="008863BC">
      <w:pPr>
        <w:pStyle w:val="BoxHeading"/>
      </w:pPr>
      <w:r w:rsidRPr="008863BC">
        <w:t>Department’s response:</w:t>
      </w:r>
    </w:p>
    <w:p w14:paraId="6CFC9578" w14:textId="6EC70DDA" w:rsidR="0014521E" w:rsidRDefault="002768BD" w:rsidP="0014521E">
      <w:pPr>
        <w:pStyle w:val="BoxText"/>
      </w:pPr>
      <w:r>
        <w:t>Agreed</w:t>
      </w:r>
    </w:p>
    <w:p w14:paraId="656B51BD" w14:textId="7884CEC2" w:rsidR="002768BD" w:rsidRPr="0014521E" w:rsidRDefault="002768BD" w:rsidP="0014521E">
      <w:pPr>
        <w:pStyle w:val="BoxText"/>
      </w:pPr>
      <w:r w:rsidRPr="002768BD">
        <w:t>The department agrees to reformat the summary independent observer reports, noting that the recommended information is currently captured throughout the reports.</w:t>
      </w:r>
    </w:p>
    <w:p w14:paraId="5803DF30" w14:textId="17556179" w:rsidR="006251EF" w:rsidRPr="0014521E" w:rsidRDefault="006251EF" w:rsidP="0014521E">
      <w:pPr>
        <w:sectPr w:rsidR="006251EF" w:rsidRPr="0014521E" w:rsidSect="00655A6E">
          <w:type w:val="continuous"/>
          <w:pgSz w:w="11906" w:h="16838"/>
          <w:pgMar w:top="1418" w:right="1418" w:bottom="1418" w:left="1418" w:header="567" w:footer="283" w:gutter="0"/>
          <w:pgNumType w:fmt="lowerRoman" w:start="1"/>
          <w:cols w:space="708"/>
          <w:titlePg/>
          <w:docGrid w:linePitch="360"/>
        </w:sectPr>
      </w:pPr>
    </w:p>
    <w:p w14:paraId="53305A88" w14:textId="40F8265A" w:rsidR="00F12F66" w:rsidRDefault="00F12F66" w:rsidP="00C5040F">
      <w:pPr>
        <w:pStyle w:val="BoxHeading"/>
        <w:keepNext/>
        <w:keepLines/>
        <w:rPr>
          <w:lang w:eastAsia="ja-JP"/>
        </w:rPr>
      </w:pPr>
      <w:r>
        <w:rPr>
          <w:lang w:eastAsia="ja-JP"/>
        </w:rPr>
        <w:t>Recommendation 5</w:t>
      </w:r>
    </w:p>
    <w:p w14:paraId="483F3189" w14:textId="38854A31" w:rsidR="001C013C" w:rsidRPr="001C013C" w:rsidRDefault="001C013C" w:rsidP="00C5040F">
      <w:pPr>
        <w:pStyle w:val="BoxText"/>
        <w:keepNext/>
        <w:keepLines/>
        <w:rPr>
          <w:lang w:eastAsia="ja-JP"/>
        </w:rPr>
      </w:pPr>
      <w:bookmarkStart w:id="13" w:name="_Hlk130996897"/>
      <w:r w:rsidRPr="001C013C">
        <w:rPr>
          <w:lang w:eastAsia="ja-JP"/>
        </w:rPr>
        <w:t>The department should be consistent in its reports with naming of entities, scheduling publication, and inclusion of non-compliance and regulatory action taken information. In this regard</w:t>
      </w:r>
      <w:r w:rsidR="00205229">
        <w:rPr>
          <w:lang w:eastAsia="ja-JP"/>
        </w:rPr>
        <w:t>,</w:t>
      </w:r>
      <w:r w:rsidRPr="001C013C">
        <w:rPr>
          <w:lang w:eastAsia="ja-JP"/>
        </w:rPr>
        <w:t xml:space="preserve"> the department should consider whether integration and rationalisation of reporting would be beneficial to make information more easily accessible to stakeholders.</w:t>
      </w:r>
    </w:p>
    <w:bookmarkEnd w:id="13"/>
    <w:p w14:paraId="37DE319A" w14:textId="52C87AC5" w:rsidR="0014521E" w:rsidRPr="00EB484D" w:rsidRDefault="00F12F66" w:rsidP="00EB484D">
      <w:pPr>
        <w:pStyle w:val="BoxHeading"/>
      </w:pPr>
      <w:r w:rsidRPr="00EB484D">
        <w:t>Department’s response:</w:t>
      </w:r>
    </w:p>
    <w:p w14:paraId="701AB899" w14:textId="699AE6AB" w:rsidR="0014521E" w:rsidRDefault="0000301E" w:rsidP="0014521E">
      <w:pPr>
        <w:pStyle w:val="BoxText"/>
      </w:pPr>
      <w:r>
        <w:t>Agreed</w:t>
      </w:r>
    </w:p>
    <w:p w14:paraId="4CAE9F29" w14:textId="77777777" w:rsidR="007F39EC" w:rsidRDefault="0000301E" w:rsidP="007F39EC">
      <w:pPr>
        <w:pStyle w:val="BoxText"/>
      </w:pPr>
      <w:r w:rsidRPr="0000301E">
        <w:t xml:space="preserve">The department agrees to improve consistency across reports within legislative and procedural fairness constraints (including confidentiality of information provisions under the </w:t>
      </w:r>
      <w:r w:rsidRPr="007F39EC">
        <w:rPr>
          <w:rStyle w:val="Emphasis"/>
        </w:rPr>
        <w:t>Export Control Act 2020</w:t>
      </w:r>
      <w:r w:rsidRPr="0000301E">
        <w:t>).</w:t>
      </w:r>
    </w:p>
    <w:p w14:paraId="228FB62A" w14:textId="7E4C3588" w:rsidR="007F39EC" w:rsidRDefault="007F39EC" w:rsidP="007F39EC">
      <w:pPr>
        <w:pStyle w:val="BoxText"/>
        <w:sectPr w:rsidR="007F39EC" w:rsidSect="00655A6E">
          <w:type w:val="continuous"/>
          <w:pgSz w:w="11906" w:h="16838"/>
          <w:pgMar w:top="1418" w:right="1418" w:bottom="1418" w:left="1418" w:header="567" w:footer="283" w:gutter="0"/>
          <w:pgNumType w:fmt="lowerRoman" w:start="1"/>
          <w:cols w:space="708"/>
          <w:titlePg/>
          <w:docGrid w:linePitch="360"/>
        </w:sectPr>
      </w:pPr>
    </w:p>
    <w:p w14:paraId="5F9F5D10" w14:textId="1321587D" w:rsidR="001D51C6" w:rsidRDefault="001D51C6" w:rsidP="001D51C6">
      <w:pPr>
        <w:pStyle w:val="BoxHeading"/>
        <w:rPr>
          <w:lang w:eastAsia="ja-JP"/>
        </w:rPr>
      </w:pPr>
      <w:r>
        <w:rPr>
          <w:lang w:eastAsia="ja-JP"/>
        </w:rPr>
        <w:t>Recommendation 6</w:t>
      </w:r>
    </w:p>
    <w:p w14:paraId="6A18B778" w14:textId="24F04C6A" w:rsidR="009268A0" w:rsidRDefault="00F67F89" w:rsidP="009268A0">
      <w:pPr>
        <w:pStyle w:val="BoxText"/>
        <w:rPr>
          <w:lang w:eastAsia="ja-JP"/>
        </w:rPr>
      </w:pPr>
      <w:r>
        <w:rPr>
          <w:lang w:eastAsia="ja-JP"/>
        </w:rPr>
        <w:t>T</w:t>
      </w:r>
      <w:r w:rsidR="009268A0" w:rsidRPr="6AAC95B8">
        <w:rPr>
          <w:lang w:eastAsia="ja-JP"/>
        </w:rPr>
        <w:t xml:space="preserve">he department develop and publish a service level commitment for the provision of IO </w:t>
      </w:r>
      <w:r w:rsidR="009268A0">
        <w:rPr>
          <w:lang w:eastAsia="ja-JP"/>
        </w:rPr>
        <w:t>observational data</w:t>
      </w:r>
      <w:r w:rsidR="009268A0" w:rsidRPr="6AAC95B8">
        <w:rPr>
          <w:lang w:eastAsia="ja-JP"/>
        </w:rPr>
        <w:t xml:space="preserve"> to </w:t>
      </w:r>
      <w:r w:rsidR="009268A0">
        <w:rPr>
          <w:lang w:eastAsia="ja-JP"/>
        </w:rPr>
        <w:t>exporters</w:t>
      </w:r>
      <w:r w:rsidR="009268A0" w:rsidRPr="6AAC95B8">
        <w:rPr>
          <w:lang w:eastAsia="ja-JP"/>
        </w:rPr>
        <w:t xml:space="preserve">, and for the publication of </w:t>
      </w:r>
      <w:proofErr w:type="gramStart"/>
      <w:r w:rsidR="009268A0" w:rsidRPr="6AAC95B8">
        <w:rPr>
          <w:lang w:eastAsia="ja-JP"/>
        </w:rPr>
        <w:t>all of</w:t>
      </w:r>
      <w:proofErr w:type="gramEnd"/>
      <w:r w:rsidR="009268A0" w:rsidRPr="6AAC95B8">
        <w:rPr>
          <w:lang w:eastAsia="ja-JP"/>
        </w:rPr>
        <w:t xml:space="preserve"> its live animal export reports.</w:t>
      </w:r>
    </w:p>
    <w:p w14:paraId="56C9472D" w14:textId="6259D0BB" w:rsidR="001D51C6" w:rsidRDefault="001D51C6" w:rsidP="0014521E">
      <w:pPr>
        <w:pStyle w:val="BoxHeading"/>
      </w:pPr>
      <w:r w:rsidRPr="0014521E">
        <w:t>Department’s response:</w:t>
      </w:r>
    </w:p>
    <w:p w14:paraId="2AA99384" w14:textId="436B8766" w:rsidR="0014521E" w:rsidRDefault="007F39EC" w:rsidP="0014521E">
      <w:pPr>
        <w:pStyle w:val="BoxText"/>
      </w:pPr>
      <w:r>
        <w:t>Agreed</w:t>
      </w:r>
    </w:p>
    <w:p w14:paraId="0C19A156" w14:textId="77777777" w:rsidR="007F39EC" w:rsidRDefault="007F39EC" w:rsidP="007F39EC">
      <w:pPr>
        <w:pStyle w:val="BoxText"/>
      </w:pPr>
      <w:r>
        <w:t>The department will work with exporters regarding the timely provision of the information gathered by independent observers following a voyage.</w:t>
      </w:r>
    </w:p>
    <w:p w14:paraId="0F3635FD" w14:textId="4E4F2553" w:rsidR="007F39EC" w:rsidRPr="0014521E" w:rsidRDefault="007F39EC" w:rsidP="007F39EC">
      <w:pPr>
        <w:pStyle w:val="BoxText"/>
      </w:pPr>
      <w:r>
        <w:t>To provide more predictability for stakeholders regarding the publishing of our reports, we will publish finalised IO reports on a quarterly basis aligning with ESCAS reporting.</w:t>
      </w:r>
    </w:p>
    <w:p w14:paraId="6E3566D7" w14:textId="02BD2507" w:rsidR="000E402A" w:rsidRDefault="000E402A">
      <w:pPr>
        <w:rPr>
          <w:lang w:eastAsia="ja-JP"/>
        </w:rPr>
      </w:pPr>
    </w:p>
    <w:p w14:paraId="6B6A3742" w14:textId="2E42FF37" w:rsidR="001D51C6" w:rsidRDefault="003878D2">
      <w:pPr>
        <w:spacing w:after="0"/>
      </w:pPr>
      <w:r>
        <w:rPr>
          <w:noProof/>
        </w:rPr>
        <w:drawing>
          <wp:inline distT="0" distB="0" distL="0" distR="0" wp14:anchorId="3C4C71C2" wp14:editId="14676030">
            <wp:extent cx="838200" cy="633789"/>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466" cy="640796"/>
                    </a:xfrm>
                    <a:prstGeom prst="rect">
                      <a:avLst/>
                    </a:prstGeom>
                    <a:noFill/>
                    <a:ln>
                      <a:noFill/>
                    </a:ln>
                  </pic:spPr>
                </pic:pic>
              </a:graphicData>
            </a:graphic>
          </wp:inline>
        </w:drawing>
      </w:r>
    </w:p>
    <w:p w14:paraId="0329B9CC" w14:textId="77777777" w:rsidR="001D51C6" w:rsidRDefault="001D51C6">
      <w:pPr>
        <w:spacing w:after="0"/>
      </w:pPr>
    </w:p>
    <w:p w14:paraId="11B7427D" w14:textId="4011BA6D" w:rsidR="0065401A" w:rsidRDefault="005D0729">
      <w:pPr>
        <w:spacing w:after="0"/>
      </w:pPr>
      <w:r>
        <w:t>Ross Carter</w:t>
      </w:r>
    </w:p>
    <w:p w14:paraId="3E7E7CF8" w14:textId="77777777" w:rsidR="0065401A" w:rsidRDefault="005D0729">
      <w:pPr>
        <w:spacing w:after="0"/>
      </w:pPr>
      <w:r>
        <w:t>Inspector-General of Live Animal Exports</w:t>
      </w:r>
    </w:p>
    <w:p w14:paraId="158CFB7B" w14:textId="4FD8A86A" w:rsidR="0065401A" w:rsidRDefault="00CD4950">
      <w:pPr>
        <w:rPr>
          <w:lang w:eastAsia="ja-JP"/>
        </w:rPr>
      </w:pPr>
      <w:r>
        <w:rPr>
          <w:lang w:eastAsia="ja-JP"/>
        </w:rPr>
        <w:t>6</w:t>
      </w:r>
      <w:r w:rsidR="006E2A7C">
        <w:rPr>
          <w:lang w:eastAsia="ja-JP"/>
        </w:rPr>
        <w:t xml:space="preserve"> </w:t>
      </w:r>
      <w:r>
        <w:rPr>
          <w:lang w:eastAsia="ja-JP"/>
        </w:rPr>
        <w:t>April</w:t>
      </w:r>
      <w:r w:rsidR="005D0729">
        <w:rPr>
          <w:lang w:eastAsia="ja-JP"/>
        </w:rPr>
        <w:t xml:space="preserve"> 20</w:t>
      </w:r>
      <w:r w:rsidR="000E402A">
        <w:rPr>
          <w:lang w:eastAsia="ja-JP"/>
        </w:rPr>
        <w:t>2</w:t>
      </w:r>
      <w:r w:rsidR="00DF3B76">
        <w:rPr>
          <w:lang w:eastAsia="ja-JP"/>
        </w:rPr>
        <w:t>3</w:t>
      </w:r>
    </w:p>
    <w:bookmarkEnd w:id="2"/>
    <w:p w14:paraId="5C9858CD" w14:textId="77777777" w:rsidR="0065401A" w:rsidRDefault="0065401A"/>
    <w:p w14:paraId="5B939660" w14:textId="77777777" w:rsidR="0065401A" w:rsidRDefault="0065401A">
      <w:pPr>
        <w:sectPr w:rsidR="0065401A" w:rsidSect="00655A6E">
          <w:type w:val="continuous"/>
          <w:pgSz w:w="11906" w:h="16838"/>
          <w:pgMar w:top="1418" w:right="1418" w:bottom="1418" w:left="1418" w:header="567" w:footer="283" w:gutter="0"/>
          <w:pgNumType w:fmt="lowerRoman" w:start="1"/>
          <w:cols w:space="708"/>
          <w:titlePg/>
          <w:docGrid w:linePitch="360"/>
        </w:sectPr>
      </w:pPr>
    </w:p>
    <w:p w14:paraId="538AF7AA" w14:textId="09ECC616" w:rsidR="00D118AC" w:rsidRDefault="006E2A7C" w:rsidP="00D118AC">
      <w:pPr>
        <w:pStyle w:val="Heading2"/>
        <w:numPr>
          <w:ilvl w:val="0"/>
          <w:numId w:val="0"/>
        </w:numPr>
        <w:ind w:left="720" w:hanging="720"/>
      </w:pPr>
      <w:bookmarkStart w:id="14" w:name="_Toc131596824"/>
      <w:r>
        <w:lastRenderedPageBreak/>
        <w:t>Introduction</w:t>
      </w:r>
      <w:bookmarkEnd w:id="14"/>
    </w:p>
    <w:p w14:paraId="3CDA2698" w14:textId="039AE078" w:rsidR="00B150A6" w:rsidRDefault="00B150A6" w:rsidP="00B150A6">
      <w:r>
        <w:t xml:space="preserve">The Department of Agriculture, Fisheries and Forestry regulates the export of livestock under the </w:t>
      </w:r>
      <w:r w:rsidRPr="00B150A6">
        <w:rPr>
          <w:rStyle w:val="Emphasis"/>
        </w:rPr>
        <w:t>Export Control Act 2020</w:t>
      </w:r>
      <w:r>
        <w:t xml:space="preserve"> and the Export Control (Animals) Rules 2021. The Australian Standards for the Export of Livestock (ASEL) provides the minimum animal health and welfare conditions required to export livestock.</w:t>
      </w:r>
    </w:p>
    <w:p w14:paraId="2C8DE124" w14:textId="17F3EFC1" w:rsidR="00154829" w:rsidRDefault="000D3F53" w:rsidP="00B150A6">
      <w:r w:rsidRPr="000D3F53">
        <w:t xml:space="preserve">Best practice regulation </w:t>
      </w:r>
      <w:r w:rsidR="001B019E">
        <w:t>includes</w:t>
      </w:r>
      <w:r w:rsidRPr="000D3F53">
        <w:t xml:space="preserve"> regulators be</w:t>
      </w:r>
      <w:r w:rsidR="001B019E">
        <w:t>ing</w:t>
      </w:r>
      <w:r w:rsidRPr="000D3F53">
        <w:t xml:space="preserve"> transparent and responsive communicators a</w:t>
      </w:r>
      <w:r w:rsidR="00CA2258">
        <w:t>s part of</w:t>
      </w:r>
      <w:r w:rsidRPr="000D3F53">
        <w:t xml:space="preserve"> implement</w:t>
      </w:r>
      <w:r w:rsidR="001B019E">
        <w:t>ing</w:t>
      </w:r>
      <w:r w:rsidRPr="000D3F53">
        <w:t xml:space="preserve"> regulations in a modern and collaborative way (PMC</w:t>
      </w:r>
      <w:r w:rsidR="00D45CA0">
        <w:t xml:space="preserve"> 2020)</w:t>
      </w:r>
      <w:r w:rsidRPr="000D3F53">
        <w:t>.</w:t>
      </w:r>
      <w:r>
        <w:t xml:space="preserve"> </w:t>
      </w:r>
      <w:r w:rsidR="001B019E">
        <w:t>Accordingly, c</w:t>
      </w:r>
      <w:r w:rsidR="000579B4" w:rsidRPr="000579B4">
        <w:t>ommunication and engagement activities are core functions of an effective regulator</w:t>
      </w:r>
      <w:r w:rsidR="00CA2258">
        <w:t xml:space="preserve">. Communication and engagement </w:t>
      </w:r>
      <w:r w:rsidR="0030542A">
        <w:t>by the</w:t>
      </w:r>
      <w:r w:rsidR="00CA2258">
        <w:t xml:space="preserve"> department </w:t>
      </w:r>
      <w:r w:rsidR="0030542A">
        <w:t>is</w:t>
      </w:r>
      <w:r w:rsidR="00756297">
        <w:t xml:space="preserve"> undertaken in the context</w:t>
      </w:r>
      <w:r w:rsidR="003838BE">
        <w:t xml:space="preserve"> </w:t>
      </w:r>
      <w:r w:rsidR="00756297">
        <w:t>of a range o</w:t>
      </w:r>
      <w:r w:rsidR="001B019E">
        <w:t>f other</w:t>
      </w:r>
      <w:r w:rsidR="00756297">
        <w:t xml:space="preserve"> relevant</w:t>
      </w:r>
      <w:r w:rsidR="000579B4" w:rsidRPr="000579B4">
        <w:t xml:space="preserve"> </w:t>
      </w:r>
      <w:r w:rsidR="003909E3">
        <w:t>Australian Government</w:t>
      </w:r>
      <w:r w:rsidR="000579B4" w:rsidRPr="000579B4">
        <w:t xml:space="preserve"> legislation.</w:t>
      </w:r>
    </w:p>
    <w:p w14:paraId="60576635" w14:textId="4BCCDB49" w:rsidR="00F41F5F" w:rsidRDefault="00756297" w:rsidP="00B150A6">
      <w:r>
        <w:t xml:space="preserve">This </w:t>
      </w:r>
      <w:r w:rsidR="004F4950">
        <w:t>inc</w:t>
      </w:r>
      <w:r w:rsidR="00CA2258">
        <w:t>ludes</w:t>
      </w:r>
      <w:r>
        <w:t xml:space="preserve"> t</w:t>
      </w:r>
      <w:r w:rsidR="00B150A6">
        <w:t xml:space="preserve">he </w:t>
      </w:r>
      <w:r w:rsidR="00B150A6" w:rsidRPr="00B150A6">
        <w:rPr>
          <w:rStyle w:val="Emphasis"/>
        </w:rPr>
        <w:t>Privacy Act 1988</w:t>
      </w:r>
      <w:r>
        <w:t xml:space="preserve">, which </w:t>
      </w:r>
      <w:r w:rsidR="00B150A6">
        <w:t>regulates the use of</w:t>
      </w:r>
      <w:r w:rsidR="00C724E9">
        <w:t xml:space="preserve"> </w:t>
      </w:r>
      <w:r w:rsidR="00B150A6">
        <w:t>personal information</w:t>
      </w:r>
      <w:r>
        <w:t>, and</w:t>
      </w:r>
      <w:r w:rsidR="00B150A6">
        <w:t xml:space="preserve"> </w:t>
      </w:r>
      <w:r>
        <w:t>the</w:t>
      </w:r>
      <w:r w:rsidR="00B150A6">
        <w:t xml:space="preserve"> </w:t>
      </w:r>
      <w:r w:rsidR="00B150A6" w:rsidRPr="00B150A6">
        <w:rPr>
          <w:rStyle w:val="Emphasis"/>
        </w:rPr>
        <w:t>Freedom of Information Act 1982</w:t>
      </w:r>
      <w:r>
        <w:t xml:space="preserve">, which </w:t>
      </w:r>
      <w:r w:rsidR="00B150A6">
        <w:t>allows individuals to request access to government information</w:t>
      </w:r>
      <w:r w:rsidR="00CA2258">
        <w:t>, including</w:t>
      </w:r>
      <w:r w:rsidR="00B150A6">
        <w:t xml:space="preserve"> government policies and decisions.</w:t>
      </w:r>
    </w:p>
    <w:p w14:paraId="7208B19D" w14:textId="3C07305E" w:rsidR="006E2A7C" w:rsidRDefault="00D47232" w:rsidP="00D47232">
      <w:r>
        <w:t>The department engages a wide variety of stakeholders with an interest in livestock exports. S</w:t>
      </w:r>
      <w:r w:rsidR="001833B2">
        <w:t>takeholders include:</w:t>
      </w:r>
    </w:p>
    <w:p w14:paraId="26332D4B" w14:textId="77777777" w:rsidR="001833B2" w:rsidRDefault="001833B2" w:rsidP="009C5476">
      <w:pPr>
        <w:pStyle w:val="ListBullet"/>
      </w:pPr>
      <w:r w:rsidRPr="001833B2">
        <w:t xml:space="preserve">live animal exporters, including live animal reproductive material </w:t>
      </w:r>
      <w:proofErr w:type="gramStart"/>
      <w:r w:rsidRPr="001833B2">
        <w:t>exporters</w:t>
      </w:r>
      <w:proofErr w:type="gramEnd"/>
    </w:p>
    <w:p w14:paraId="57C6E899" w14:textId="5F908E70" w:rsidR="001833B2" w:rsidRDefault="001833B2" w:rsidP="009C5476">
      <w:pPr>
        <w:pStyle w:val="ListBullet"/>
      </w:pPr>
      <w:r w:rsidRPr="001833B2">
        <w:t>registered establishment occupiers</w:t>
      </w:r>
    </w:p>
    <w:p w14:paraId="22EC75FA" w14:textId="3912DF86" w:rsidR="001833B2" w:rsidRDefault="00E95E40" w:rsidP="001833B2">
      <w:pPr>
        <w:pStyle w:val="ListBullet"/>
      </w:pPr>
      <w:r>
        <w:t>a</w:t>
      </w:r>
      <w:r w:rsidR="001833B2" w:rsidRPr="001833B2">
        <w:t xml:space="preserve">ccredited </w:t>
      </w:r>
      <w:r>
        <w:t>v</w:t>
      </w:r>
      <w:r w:rsidR="001833B2" w:rsidRPr="001833B2">
        <w:t>eterinarians (AAVs)</w:t>
      </w:r>
      <w:r w:rsidR="001976DC">
        <w:t xml:space="preserve"> and stockpersons</w:t>
      </w:r>
    </w:p>
    <w:p w14:paraId="3BA6E577" w14:textId="1E1F7F95" w:rsidR="001833B2" w:rsidRDefault="00E95E40" w:rsidP="001833B2">
      <w:pPr>
        <w:pStyle w:val="ListBullet"/>
      </w:pPr>
      <w:r>
        <w:t>n</w:t>
      </w:r>
      <w:r w:rsidR="001833B2" w:rsidRPr="001833B2">
        <w:t>ational and state</w:t>
      </w:r>
      <w:r w:rsidR="00C306F4">
        <w:t xml:space="preserve"> and territor</w:t>
      </w:r>
      <w:r w:rsidR="00EF1DDD">
        <w:t>y</w:t>
      </w:r>
      <w:r w:rsidR="001833B2" w:rsidRPr="001833B2">
        <w:t xml:space="preserve"> peak export industry bodies</w:t>
      </w:r>
    </w:p>
    <w:p w14:paraId="6BDF5D7C" w14:textId="3ACF50BC" w:rsidR="001833B2" w:rsidRDefault="00E95E40" w:rsidP="001833B2">
      <w:pPr>
        <w:pStyle w:val="ListBullet"/>
      </w:pPr>
      <w:r>
        <w:t>n</w:t>
      </w:r>
      <w:r w:rsidR="001833B2" w:rsidRPr="001833B2">
        <w:t>ational and state</w:t>
      </w:r>
      <w:r w:rsidR="00454A3B">
        <w:t xml:space="preserve"> and territory</w:t>
      </w:r>
      <w:r w:rsidR="001833B2" w:rsidRPr="001833B2">
        <w:t xml:space="preserve"> farming organisations</w:t>
      </w:r>
    </w:p>
    <w:p w14:paraId="1F46F693" w14:textId="78DFE033" w:rsidR="001833B2" w:rsidRDefault="00E95E40" w:rsidP="001833B2">
      <w:pPr>
        <w:pStyle w:val="ListBullet"/>
      </w:pPr>
      <w:r>
        <w:t>n</w:t>
      </w:r>
      <w:r w:rsidR="001833B2" w:rsidRPr="001833B2">
        <w:t xml:space="preserve">ational and state </w:t>
      </w:r>
      <w:r w:rsidR="00454A3B">
        <w:t xml:space="preserve">and territory </w:t>
      </w:r>
      <w:r w:rsidR="001833B2" w:rsidRPr="001833B2">
        <w:t>producer bodies</w:t>
      </w:r>
    </w:p>
    <w:p w14:paraId="1AFC7E91" w14:textId="74F65977" w:rsidR="001833B2" w:rsidRDefault="001833B2" w:rsidP="001833B2">
      <w:pPr>
        <w:pStyle w:val="ListBullet"/>
      </w:pPr>
      <w:r w:rsidRPr="001833B2">
        <w:t>producers and farmers</w:t>
      </w:r>
    </w:p>
    <w:p w14:paraId="31C56FF5" w14:textId="61FF956C" w:rsidR="001833B2" w:rsidRDefault="001833B2" w:rsidP="001833B2">
      <w:pPr>
        <w:pStyle w:val="ListBullet"/>
      </w:pPr>
      <w:r w:rsidRPr="001833B2">
        <w:t>agents for livestock</w:t>
      </w:r>
    </w:p>
    <w:p w14:paraId="014C5E29" w14:textId="77777777" w:rsidR="001833B2" w:rsidRDefault="001833B2" w:rsidP="001833B2">
      <w:pPr>
        <w:pStyle w:val="ListBullet"/>
      </w:pPr>
      <w:r w:rsidRPr="001833B2">
        <w:t>animal health bodies</w:t>
      </w:r>
    </w:p>
    <w:p w14:paraId="02FA24CE" w14:textId="77777777" w:rsidR="001833B2" w:rsidRDefault="001833B2" w:rsidP="001833B2">
      <w:pPr>
        <w:pStyle w:val="ListBullet"/>
      </w:pPr>
      <w:r w:rsidRPr="001833B2">
        <w:t>animal welfare groups</w:t>
      </w:r>
    </w:p>
    <w:p w14:paraId="2C8525BB" w14:textId="77777777" w:rsidR="001833B2" w:rsidRDefault="001833B2" w:rsidP="001833B2">
      <w:pPr>
        <w:pStyle w:val="ListBullet"/>
      </w:pPr>
      <w:r w:rsidRPr="001833B2">
        <w:t>community groups</w:t>
      </w:r>
    </w:p>
    <w:p w14:paraId="3C73E8BD" w14:textId="09DCEC65" w:rsidR="00D47232" w:rsidRDefault="00D47232" w:rsidP="001833B2">
      <w:pPr>
        <w:pStyle w:val="ListBullet"/>
      </w:pPr>
      <w:r>
        <w:t xml:space="preserve">Australian </w:t>
      </w:r>
      <w:r w:rsidR="00D9593E">
        <w:t>G</w:t>
      </w:r>
      <w:r>
        <w:t>overnment ministers</w:t>
      </w:r>
    </w:p>
    <w:p w14:paraId="5A99BDAB" w14:textId="1C338C0B" w:rsidR="001833B2" w:rsidRDefault="001833B2" w:rsidP="001833B2">
      <w:pPr>
        <w:pStyle w:val="ListBullet"/>
      </w:pPr>
      <w:r w:rsidRPr="001833B2">
        <w:t xml:space="preserve">other </w:t>
      </w:r>
      <w:r w:rsidR="007E5BC9">
        <w:t>Australian</w:t>
      </w:r>
      <w:r w:rsidRPr="001833B2">
        <w:t xml:space="preserve"> and </w:t>
      </w:r>
      <w:r w:rsidR="004C5EC5">
        <w:t>s</w:t>
      </w:r>
      <w:r w:rsidRPr="001833B2">
        <w:t xml:space="preserve">tate </w:t>
      </w:r>
      <w:r w:rsidR="00663E29">
        <w:t xml:space="preserve">and territory </w:t>
      </w:r>
      <w:r w:rsidRPr="001833B2">
        <w:t>government departments</w:t>
      </w:r>
    </w:p>
    <w:p w14:paraId="6B5FE7D8" w14:textId="016F5558" w:rsidR="001833B2" w:rsidRDefault="001833B2" w:rsidP="001833B2">
      <w:pPr>
        <w:pStyle w:val="ListBullet"/>
      </w:pPr>
      <w:r w:rsidRPr="001833B2">
        <w:t>other interested parties.</w:t>
      </w:r>
    </w:p>
    <w:p w14:paraId="14D7F58A" w14:textId="23DE7B5B" w:rsidR="0065401A" w:rsidRDefault="006B0CBA">
      <w:pPr>
        <w:pStyle w:val="Heading2"/>
      </w:pPr>
      <w:bookmarkStart w:id="15" w:name="_Toc131596825"/>
      <w:r>
        <w:lastRenderedPageBreak/>
        <w:t xml:space="preserve">Engagement </w:t>
      </w:r>
      <w:r w:rsidR="00BF2646">
        <w:t xml:space="preserve">and </w:t>
      </w:r>
      <w:r w:rsidR="00DB716C">
        <w:t>communication</w:t>
      </w:r>
      <w:bookmarkEnd w:id="15"/>
    </w:p>
    <w:p w14:paraId="152C6A66" w14:textId="3F76E477" w:rsidR="004C0D69" w:rsidRDefault="00D47232" w:rsidP="0012239D">
      <w:r>
        <w:t xml:space="preserve">The department </w:t>
      </w:r>
      <w:r w:rsidR="001B019E">
        <w:t>seeks to use the</w:t>
      </w:r>
      <w:r>
        <w:t xml:space="preserve"> most appropriate communication channels for the given intent, audience, </w:t>
      </w:r>
      <w:proofErr w:type="gramStart"/>
      <w:r>
        <w:t>messaging</w:t>
      </w:r>
      <w:proofErr w:type="gramEnd"/>
      <w:r>
        <w:t xml:space="preserve"> and desired outcomes. Communication channels can be formal, informal, interactive, educational, face-to-face</w:t>
      </w:r>
      <w:r w:rsidR="00774358">
        <w:t xml:space="preserve">, </w:t>
      </w:r>
      <w:proofErr w:type="gramStart"/>
      <w:r w:rsidR="00774358">
        <w:t>directional</w:t>
      </w:r>
      <w:proofErr w:type="gramEnd"/>
      <w:r w:rsidR="00774358">
        <w:t xml:space="preserve"> or advisory.</w:t>
      </w:r>
    </w:p>
    <w:p w14:paraId="09FC8C00" w14:textId="0DF611DB" w:rsidR="004C0D69" w:rsidRDefault="00655C7D" w:rsidP="00BB39FC">
      <w:pPr>
        <w:pStyle w:val="Heading3"/>
      </w:pPr>
      <w:bookmarkStart w:id="16" w:name="_Toc131596826"/>
      <w:r>
        <w:t xml:space="preserve">Communications and </w:t>
      </w:r>
      <w:r w:rsidR="00BA4118">
        <w:t>e</w:t>
      </w:r>
      <w:r w:rsidR="004C0D69">
        <w:t>ngagement policy</w:t>
      </w:r>
      <w:bookmarkEnd w:id="16"/>
    </w:p>
    <w:p w14:paraId="16610C92" w14:textId="5E1AD5EC" w:rsidR="0012239D" w:rsidRPr="00765F11" w:rsidRDefault="00EF323A" w:rsidP="0012239D">
      <w:r w:rsidRPr="00EF323A">
        <w:t xml:space="preserve">The department published its communications and engagement policy on 19 April 2022 (DAWE 2022). The department incorporates this policy into each of its projects. </w:t>
      </w:r>
      <w:r w:rsidR="0012239D" w:rsidRPr="00765F11">
        <w:t xml:space="preserve">The </w:t>
      </w:r>
      <w:r w:rsidR="008C4FD9">
        <w:t>3</w:t>
      </w:r>
      <w:r w:rsidR="0012239D" w:rsidRPr="00765F11">
        <w:t xml:space="preserve"> ways the department engages are to:</w:t>
      </w:r>
    </w:p>
    <w:p w14:paraId="242C019A" w14:textId="650915F0" w:rsidR="0012239D" w:rsidRPr="00BD71BD" w:rsidRDefault="000004AD" w:rsidP="00765F11">
      <w:pPr>
        <w:pStyle w:val="ListBullet"/>
      </w:pPr>
      <w:r>
        <w:t>s</w:t>
      </w:r>
      <w:r w:rsidR="0012239D" w:rsidRPr="00BD71BD">
        <w:t>hare</w:t>
      </w:r>
    </w:p>
    <w:p w14:paraId="47462C23" w14:textId="7A7B1404" w:rsidR="0012239D" w:rsidRPr="00BD71BD" w:rsidRDefault="000004AD" w:rsidP="00765F11">
      <w:pPr>
        <w:pStyle w:val="ListBullet"/>
      </w:pPr>
      <w:bookmarkStart w:id="17" w:name="_Hlk118281009"/>
      <w:r>
        <w:t>c</w:t>
      </w:r>
      <w:r w:rsidR="0012239D" w:rsidRPr="00BD71BD">
        <w:t>onsult</w:t>
      </w:r>
    </w:p>
    <w:p w14:paraId="3B876E9C" w14:textId="7712A6A1" w:rsidR="0012239D" w:rsidRPr="00BD71BD" w:rsidRDefault="000004AD" w:rsidP="00765F11">
      <w:pPr>
        <w:pStyle w:val="ListBullet"/>
      </w:pPr>
      <w:bookmarkStart w:id="18" w:name="_Hlk118445067"/>
      <w:bookmarkEnd w:id="17"/>
      <w:r>
        <w:t>c</w:t>
      </w:r>
      <w:r w:rsidR="0012239D" w:rsidRPr="00BD71BD">
        <w:t>ollaborate</w:t>
      </w:r>
      <w:r w:rsidR="00C81250">
        <w:t>.</w:t>
      </w:r>
    </w:p>
    <w:p w14:paraId="325D9AB6" w14:textId="55179C75" w:rsidR="004C0D69" w:rsidRDefault="00DB716C" w:rsidP="00BB39FC">
      <w:pPr>
        <w:pStyle w:val="Heading3"/>
      </w:pPr>
      <w:bookmarkStart w:id="19" w:name="_Toc131596827"/>
      <w:bookmarkEnd w:id="18"/>
      <w:r>
        <w:t>Communication</w:t>
      </w:r>
      <w:bookmarkEnd w:id="19"/>
    </w:p>
    <w:p w14:paraId="7E54AE01" w14:textId="6486D579" w:rsidR="0078639D" w:rsidRDefault="0078639D" w:rsidP="0078639D">
      <w:r>
        <w:t>T</w:t>
      </w:r>
      <w:r w:rsidRPr="0012239D">
        <w:t>he department</w:t>
      </w:r>
      <w:r>
        <w:t xml:space="preserve"> shares information when it</w:t>
      </w:r>
      <w:r w:rsidRPr="0012239D">
        <w:t xml:space="preserve"> needs to </w:t>
      </w:r>
      <w:r>
        <w:t>inform</w:t>
      </w:r>
      <w:r w:rsidRPr="0012239D">
        <w:t xml:space="preserve"> stakeholders about a government initiative</w:t>
      </w:r>
      <w:r w:rsidR="004F4950">
        <w:t xml:space="preserve">. New initiatives can be policy, guidance, future events or change in operations or management. </w:t>
      </w:r>
      <w:r>
        <w:t>It uses several communication channels to accomplish this, including:</w:t>
      </w:r>
    </w:p>
    <w:p w14:paraId="11A46602" w14:textId="05B7CC80" w:rsidR="0078639D" w:rsidRDefault="00DE0069" w:rsidP="0078639D">
      <w:pPr>
        <w:pStyle w:val="ListBullet"/>
      </w:pPr>
      <w:r>
        <w:t>e</w:t>
      </w:r>
      <w:r w:rsidR="0078639D" w:rsidRPr="0010113A">
        <w:t xml:space="preserve">xport </w:t>
      </w:r>
      <w:r>
        <w:t>a</w:t>
      </w:r>
      <w:r w:rsidR="0078639D" w:rsidRPr="0010113A">
        <w:t xml:space="preserve">dvisory </w:t>
      </w:r>
      <w:r>
        <w:t>n</w:t>
      </w:r>
      <w:r w:rsidR="0078639D" w:rsidRPr="0010113A">
        <w:t xml:space="preserve">otices (EANs) and </w:t>
      </w:r>
      <w:r>
        <w:t>m</w:t>
      </w:r>
      <w:r w:rsidR="0078639D" w:rsidRPr="0010113A">
        <w:t xml:space="preserve">arket </w:t>
      </w:r>
      <w:r>
        <w:t>a</w:t>
      </w:r>
      <w:r w:rsidR="0078639D" w:rsidRPr="0010113A">
        <w:t xml:space="preserve">ccess </w:t>
      </w:r>
      <w:r>
        <w:t>n</w:t>
      </w:r>
      <w:r w:rsidR="0078639D" w:rsidRPr="0010113A">
        <w:t>otices (MANs)</w:t>
      </w:r>
    </w:p>
    <w:p w14:paraId="6AEA2820" w14:textId="77777777" w:rsidR="0078639D" w:rsidRDefault="0078639D" w:rsidP="0078639D">
      <w:pPr>
        <w:pStyle w:val="ListBullet"/>
      </w:pPr>
      <w:r>
        <w:t>website updates</w:t>
      </w:r>
    </w:p>
    <w:p w14:paraId="341245D1" w14:textId="61514E32" w:rsidR="0078639D" w:rsidRDefault="2EFCEAFF" w:rsidP="0078639D">
      <w:pPr>
        <w:pStyle w:val="ListBullet"/>
      </w:pPr>
      <w:r>
        <w:t>webinars</w:t>
      </w:r>
      <w:r w:rsidR="7DC386FE">
        <w:t xml:space="preserve"> and</w:t>
      </w:r>
      <w:r>
        <w:t xml:space="preserve"> teleconferences</w:t>
      </w:r>
    </w:p>
    <w:p w14:paraId="3C0D35DF" w14:textId="7986F7BC" w:rsidR="0078639D" w:rsidRDefault="0078639D" w:rsidP="0078639D">
      <w:pPr>
        <w:pStyle w:val="ListBullet"/>
      </w:pPr>
      <w:r>
        <w:t>direct correspondence such as emails</w:t>
      </w:r>
      <w:r w:rsidR="00921EC5">
        <w:t xml:space="preserve"> and phone calls</w:t>
      </w:r>
    </w:p>
    <w:p w14:paraId="61D888C5" w14:textId="77777777" w:rsidR="0078639D" w:rsidRDefault="0078639D" w:rsidP="0078639D">
      <w:pPr>
        <w:pStyle w:val="ListBullet"/>
      </w:pPr>
      <w:r>
        <w:t xml:space="preserve">education, </w:t>
      </w:r>
      <w:proofErr w:type="gramStart"/>
      <w:r>
        <w:t>conferences</w:t>
      </w:r>
      <w:proofErr w:type="gramEnd"/>
      <w:r>
        <w:t xml:space="preserve"> and training events</w:t>
      </w:r>
    </w:p>
    <w:p w14:paraId="4B03E8D3" w14:textId="489BE114" w:rsidR="0078639D" w:rsidRDefault="0078639D" w:rsidP="0078639D">
      <w:pPr>
        <w:pStyle w:val="ListBullet"/>
      </w:pPr>
      <w:r>
        <w:t xml:space="preserve">social media including Twitter, </w:t>
      </w:r>
      <w:proofErr w:type="gramStart"/>
      <w:r>
        <w:t>Facebook</w:t>
      </w:r>
      <w:proofErr w:type="gramEnd"/>
      <w:r w:rsidR="00AA5D09">
        <w:t xml:space="preserve"> and</w:t>
      </w:r>
      <w:r>
        <w:t xml:space="preserve"> LinkedIn</w:t>
      </w:r>
    </w:p>
    <w:p w14:paraId="7007B8C5" w14:textId="3F98BA6E" w:rsidR="0078639D" w:rsidRDefault="0078639D" w:rsidP="0078639D">
      <w:pPr>
        <w:pStyle w:val="ListBullet"/>
      </w:pPr>
      <w:r>
        <w:t>brochures, information packs</w:t>
      </w:r>
      <w:r w:rsidR="00AA5D09">
        <w:t xml:space="preserve"> and</w:t>
      </w:r>
      <w:r>
        <w:t xml:space="preserve"> reports.</w:t>
      </w:r>
    </w:p>
    <w:p w14:paraId="201FF24E" w14:textId="6F5E74FF" w:rsidR="002F3E01" w:rsidRDefault="3C5588EA" w:rsidP="00DE3AD4">
      <w:r>
        <w:t xml:space="preserve">A full list of EANs from 2007 was </w:t>
      </w:r>
      <w:r w:rsidR="3D2A7D8E">
        <w:t xml:space="preserve">previously </w:t>
      </w:r>
      <w:r>
        <w:t>available on the department’s website.</w:t>
      </w:r>
      <w:r w:rsidR="372CA769">
        <w:t xml:space="preserve"> </w:t>
      </w:r>
      <w:r w:rsidR="3D2A7D8E">
        <w:t>The EANs contained information about livestock export process</w:t>
      </w:r>
      <w:r w:rsidR="547243ED">
        <w:t>es</w:t>
      </w:r>
      <w:r w:rsidR="3D2A7D8E">
        <w:t>, standards and other requirements</w:t>
      </w:r>
      <w:r w:rsidR="6A8C28DE">
        <w:t xml:space="preserve"> and were quite detailed. This posed a problem for exporters</w:t>
      </w:r>
      <w:r w:rsidR="708BD70B">
        <w:t xml:space="preserve"> and other stakeholders</w:t>
      </w:r>
      <w:r w:rsidR="6A8C28DE">
        <w:t xml:space="preserve"> as </w:t>
      </w:r>
      <w:r w:rsidR="452F19EE">
        <w:t xml:space="preserve">there </w:t>
      </w:r>
      <w:r w:rsidR="00DE3AD4">
        <w:t xml:space="preserve">was </w:t>
      </w:r>
      <w:r w:rsidR="00B54CDB">
        <w:t xml:space="preserve">potential for </w:t>
      </w:r>
      <w:r w:rsidR="452F19EE">
        <w:t>confusion or ambiguity on the status of superseded or outdated EANs</w:t>
      </w:r>
      <w:r w:rsidR="0CA0FDF6">
        <w:t>.</w:t>
      </w:r>
    </w:p>
    <w:p w14:paraId="24E5B6D8" w14:textId="7B65A2A6" w:rsidR="002F3E01" w:rsidRDefault="60D93733" w:rsidP="00DE3AD4">
      <w:r>
        <w:t xml:space="preserve">In 2019 the department </w:t>
      </w:r>
      <w:r w:rsidR="00DE3AD4">
        <w:t xml:space="preserve">reviewed </w:t>
      </w:r>
      <w:r>
        <w:t>the list</w:t>
      </w:r>
      <w:r w:rsidR="01F2990C">
        <w:t xml:space="preserve"> of EANs</w:t>
      </w:r>
      <w:r>
        <w:t xml:space="preserve"> to</w:t>
      </w:r>
      <w:r w:rsidR="00DE3AD4">
        <w:t xml:space="preserve"> remove outdated ones</w:t>
      </w:r>
      <w:r>
        <w:t xml:space="preserve"> and move current content to the relevant webpage or </w:t>
      </w:r>
      <w:r w:rsidR="259AA1C1">
        <w:t xml:space="preserve">external </w:t>
      </w:r>
      <w:r>
        <w:t xml:space="preserve">guideline. For example, the department moved any </w:t>
      </w:r>
      <w:r w:rsidR="19B15D00">
        <w:t>information about</w:t>
      </w:r>
      <w:r>
        <w:t xml:space="preserve"> approved arrangements</w:t>
      </w:r>
      <w:r w:rsidR="19B15D00">
        <w:t xml:space="preserve"> from EANs</w:t>
      </w:r>
      <w:r>
        <w:t xml:space="preserve"> into the approved arrangements webpage. In 2022 the department</w:t>
      </w:r>
      <w:r w:rsidR="01F2990C">
        <w:t xml:space="preserve"> further addressed the issues that arose from having to</w:t>
      </w:r>
      <w:r w:rsidR="234C20ED">
        <w:t>o</w:t>
      </w:r>
      <w:r w:rsidR="01F2990C">
        <w:t xml:space="preserve"> much detail in EAN</w:t>
      </w:r>
      <w:r w:rsidR="04930C9C">
        <w:t>s</w:t>
      </w:r>
      <w:r w:rsidR="01F2990C">
        <w:t xml:space="preserve"> and</w:t>
      </w:r>
      <w:r>
        <w:t xml:space="preserve"> began to use </w:t>
      </w:r>
      <w:r w:rsidR="04930C9C">
        <w:t>them</w:t>
      </w:r>
      <w:r w:rsidR="01F2990C">
        <w:t xml:space="preserve"> solely</w:t>
      </w:r>
      <w:r>
        <w:t xml:space="preserve"> as a notification </w:t>
      </w:r>
      <w:r w:rsidR="01F2990C">
        <w:t xml:space="preserve">tool </w:t>
      </w:r>
      <w:r>
        <w:t xml:space="preserve">to inform livestock exporters on upcoming changes. </w:t>
      </w:r>
      <w:r w:rsidR="01F2990C">
        <w:t>This i</w:t>
      </w:r>
      <w:r>
        <w:t>nclud</w:t>
      </w:r>
      <w:r w:rsidR="01F2990C">
        <w:t>ed</w:t>
      </w:r>
      <w:r>
        <w:t xml:space="preserve"> any impacts on livestock export process</w:t>
      </w:r>
      <w:r w:rsidR="10446E76">
        <w:t>es</w:t>
      </w:r>
      <w:r>
        <w:t xml:space="preserve"> or standards, recently implemented regulatory changes, items open for consultation or any other information</w:t>
      </w:r>
      <w:r w:rsidR="01F2990C">
        <w:t>.</w:t>
      </w:r>
      <w:r w:rsidR="008C7B96">
        <w:t xml:space="preserve"> </w:t>
      </w:r>
      <w:r w:rsidR="008C7B96" w:rsidRPr="009268A0">
        <w:t xml:space="preserve">To support this change, </w:t>
      </w:r>
      <w:r w:rsidR="008C7B96">
        <w:t>the department</w:t>
      </w:r>
      <w:r w:rsidR="008C7B96" w:rsidRPr="009268A0">
        <w:t xml:space="preserve"> published a guideline on </w:t>
      </w:r>
      <w:r w:rsidR="008C7B96">
        <w:t>its</w:t>
      </w:r>
      <w:r w:rsidR="008C7B96" w:rsidRPr="009268A0">
        <w:t xml:space="preserve"> internal Instructional Material Library to provide guidance to staff writing EANs and MANs</w:t>
      </w:r>
      <w:r w:rsidR="008C7B96">
        <w:t>.</w:t>
      </w:r>
      <w:r>
        <w:t xml:space="preserve"> </w:t>
      </w:r>
      <w:r w:rsidR="2AA49BCE">
        <w:t xml:space="preserve">The inspector-general considers the changes </w:t>
      </w:r>
      <w:r w:rsidR="01F2990C">
        <w:t>the department has made in the way it uses</w:t>
      </w:r>
      <w:r w:rsidR="2AA49BCE">
        <w:t xml:space="preserve"> EANs </w:t>
      </w:r>
      <w:r w:rsidR="01F2990C">
        <w:t xml:space="preserve">to be </w:t>
      </w:r>
      <w:r w:rsidR="2AA49BCE">
        <w:t>a positive step.</w:t>
      </w:r>
    </w:p>
    <w:p w14:paraId="6EAAA814" w14:textId="6EE6B135" w:rsidR="009268A0" w:rsidRDefault="009268A0" w:rsidP="00DE3AD4">
      <w:r w:rsidRPr="009268A0">
        <w:t>.</w:t>
      </w:r>
    </w:p>
    <w:p w14:paraId="3D009834" w14:textId="32B3773A" w:rsidR="0010113A" w:rsidRDefault="00C90CB1" w:rsidP="00DE3AD4">
      <w:r>
        <w:lastRenderedPageBreak/>
        <w:t>As part of the department’s</w:t>
      </w:r>
      <w:r w:rsidR="00DE3AD4">
        <w:t xml:space="preserve"> review of </w:t>
      </w:r>
      <w:r>
        <w:t xml:space="preserve">its use of </w:t>
      </w:r>
      <w:r w:rsidR="00DE3AD4">
        <w:t>EANs</w:t>
      </w:r>
      <w:r w:rsidR="00B9212A">
        <w:t>,</w:t>
      </w:r>
      <w:r w:rsidR="00DE3AD4">
        <w:t xml:space="preserve"> </w:t>
      </w:r>
      <w:r w:rsidR="000E650F">
        <w:t xml:space="preserve">it was </w:t>
      </w:r>
      <w:r w:rsidR="00D30AFC">
        <w:t>decided that market</w:t>
      </w:r>
      <w:r>
        <w:t xml:space="preserve"> specific advice </w:t>
      </w:r>
      <w:r w:rsidR="000E650F">
        <w:t>should not be included in the EANs</w:t>
      </w:r>
      <w:r w:rsidR="00B9212A">
        <w:t>. T</w:t>
      </w:r>
      <w:r>
        <w:t xml:space="preserve">his </w:t>
      </w:r>
      <w:r w:rsidR="00DE3AD4">
        <w:t xml:space="preserve">led to the creation of a new industry notice category called MANs. These are notifications that are relevant to specific export markets and include sensitivities or changes to requirements. </w:t>
      </w:r>
      <w:r w:rsidR="00547898">
        <w:t>A</w:t>
      </w:r>
      <w:r w:rsidR="00CD3662">
        <w:t xml:space="preserve"> </w:t>
      </w:r>
      <w:r w:rsidR="00DE3AD4">
        <w:t xml:space="preserve">current list is available on the department’s </w:t>
      </w:r>
      <w:hyperlink r:id="rId21" w:history="1">
        <w:r w:rsidR="00DE3AD4" w:rsidRPr="00433BEC">
          <w:rPr>
            <w:rStyle w:val="Hyperlink"/>
          </w:rPr>
          <w:t>Manual of Importing Country Requirements (</w:t>
        </w:r>
        <w:proofErr w:type="spellStart"/>
        <w:r w:rsidR="00DE3AD4" w:rsidRPr="00433BEC">
          <w:rPr>
            <w:rStyle w:val="Hyperlink"/>
          </w:rPr>
          <w:t>Micor</w:t>
        </w:r>
        <w:proofErr w:type="spellEnd"/>
        <w:r w:rsidR="00DE3AD4" w:rsidRPr="00433BEC">
          <w:rPr>
            <w:rStyle w:val="Hyperlink"/>
          </w:rPr>
          <w:t xml:space="preserve">) </w:t>
        </w:r>
        <w:r w:rsidR="00433BEC" w:rsidRPr="00433BEC">
          <w:rPr>
            <w:rStyle w:val="Hyperlink"/>
          </w:rPr>
          <w:t>website</w:t>
        </w:r>
      </w:hyperlink>
      <w:r w:rsidR="00DE3AD4">
        <w:t>.</w:t>
      </w:r>
    </w:p>
    <w:p w14:paraId="4633C4CF" w14:textId="77FE7FFD" w:rsidR="000D7BF2" w:rsidRDefault="00156CDB" w:rsidP="00DE3AD4">
      <w:r>
        <w:t xml:space="preserve">The department </w:t>
      </w:r>
      <w:r w:rsidRPr="00156CDB">
        <w:t>use</w:t>
      </w:r>
      <w:r>
        <w:t>s</w:t>
      </w:r>
      <w:r w:rsidRPr="00156CDB">
        <w:t xml:space="preserve"> website analytics to understand the audience </w:t>
      </w:r>
      <w:r>
        <w:t>they</w:t>
      </w:r>
      <w:r w:rsidRPr="00156CDB">
        <w:t xml:space="preserve"> are reaching with </w:t>
      </w:r>
      <w:r>
        <w:t>their</w:t>
      </w:r>
      <w:r w:rsidRPr="00156CDB">
        <w:t xml:space="preserve"> materials</w:t>
      </w:r>
      <w:r>
        <w:t xml:space="preserve">. </w:t>
      </w:r>
      <w:r w:rsidR="00D60C30">
        <w:t xml:space="preserve">They do this by seeing how many </w:t>
      </w:r>
      <w:r w:rsidR="00D60C30" w:rsidRPr="004F4205">
        <w:t>hits</w:t>
      </w:r>
      <w:r w:rsidR="00D60C30">
        <w:t xml:space="preserve"> and</w:t>
      </w:r>
      <w:r w:rsidR="00D60C30" w:rsidRPr="004F4205">
        <w:t xml:space="preserve"> download counts </w:t>
      </w:r>
      <w:r w:rsidR="00D60C30">
        <w:t>the pages have.</w:t>
      </w:r>
      <w:r w:rsidRPr="00156CDB">
        <w:t xml:space="preserve"> Recently, the analytics were used to help inform updat</w:t>
      </w:r>
      <w:r w:rsidR="00147D67">
        <w:t>es to</w:t>
      </w:r>
      <w:r w:rsidRPr="00156CDB">
        <w:t xml:space="preserve"> </w:t>
      </w:r>
      <w:r w:rsidR="007D3417">
        <w:t>the department’s</w:t>
      </w:r>
      <w:r w:rsidRPr="00156CDB">
        <w:t xml:space="preserve"> website content.</w:t>
      </w:r>
      <w:r w:rsidR="007D3417">
        <w:t xml:space="preserve"> The bottom of each webpage now has a feedback survey question ‘Was this page helpful?’ to assist in improving communications.</w:t>
      </w:r>
    </w:p>
    <w:p w14:paraId="069893B3" w14:textId="48C6CA50" w:rsidR="00F67A46" w:rsidRDefault="0072353A" w:rsidP="00DE3AD4">
      <w:r>
        <w:t xml:space="preserve">The department uses social media apps </w:t>
      </w:r>
      <w:r w:rsidR="00921EC5">
        <w:t xml:space="preserve">such as Facebook, </w:t>
      </w:r>
      <w:proofErr w:type="gramStart"/>
      <w:r w:rsidR="00921EC5">
        <w:t>Twitter</w:t>
      </w:r>
      <w:proofErr w:type="gramEnd"/>
      <w:r w:rsidR="00921EC5">
        <w:t xml:space="preserve"> </w:t>
      </w:r>
      <w:r w:rsidR="00F11429">
        <w:t>and Linked</w:t>
      </w:r>
      <w:r w:rsidR="00FA7598">
        <w:t>I</w:t>
      </w:r>
      <w:r w:rsidR="00F11429">
        <w:t xml:space="preserve">n </w:t>
      </w:r>
      <w:r>
        <w:t xml:space="preserve">to communicate </w:t>
      </w:r>
      <w:r w:rsidR="00FA3566">
        <w:t xml:space="preserve">information to a wide audience. Social media is often used for projecting media statements. For example, </w:t>
      </w:r>
      <w:r w:rsidR="00F11429">
        <w:t xml:space="preserve">the department used social media to help inform stakeholders that it had published </w:t>
      </w:r>
      <w:r w:rsidR="00FA3566">
        <w:t>guidebooks that support users of ASEL.</w:t>
      </w:r>
    </w:p>
    <w:p w14:paraId="65DEF373" w14:textId="205D965A" w:rsidR="00D60C30" w:rsidRDefault="000D7BF2" w:rsidP="00D60C30">
      <w:r>
        <w:t xml:space="preserve">The department uses </w:t>
      </w:r>
      <w:r w:rsidR="00156CDB">
        <w:t>webinars to communicate with stakeholders.</w:t>
      </w:r>
      <w:r w:rsidR="00D60C30">
        <w:t xml:space="preserve"> Webinars have been used to target different user groups to provide information on changes specific to them. </w:t>
      </w:r>
      <w:r w:rsidR="00D60C30" w:rsidRPr="004F4205">
        <w:t xml:space="preserve">For </w:t>
      </w:r>
      <w:r w:rsidR="00D60C30">
        <w:t>example</w:t>
      </w:r>
      <w:r w:rsidR="003D2657">
        <w:t>,</w:t>
      </w:r>
      <w:r w:rsidR="00D60C30">
        <w:t xml:space="preserve"> the department held webinars for </w:t>
      </w:r>
      <w:r w:rsidR="00D60C30" w:rsidRPr="004F4205">
        <w:t>the release of the revised Australian Standards for the Export of Livestock</w:t>
      </w:r>
      <w:r w:rsidR="006D2C0A">
        <w:t>.</w:t>
      </w:r>
      <w:r w:rsidR="00D60C30" w:rsidRPr="004F4205">
        <w:t xml:space="preserve"> </w:t>
      </w:r>
      <w:r w:rsidR="00D60C30">
        <w:t>T</w:t>
      </w:r>
      <w:r w:rsidR="00D60C30" w:rsidRPr="004F4205">
        <w:t>ime</w:t>
      </w:r>
      <w:r w:rsidR="00D60C30">
        <w:t xml:space="preserve"> was made available</w:t>
      </w:r>
      <w:r w:rsidR="00D60C30" w:rsidRPr="004F4205">
        <w:t xml:space="preserve"> at the end of each webinar for feedback and how improve</w:t>
      </w:r>
      <w:r w:rsidR="00D60C30">
        <w:t>ments could be made.</w:t>
      </w:r>
    </w:p>
    <w:p w14:paraId="29593DB0" w14:textId="40228DA3" w:rsidR="00BD71BD" w:rsidRDefault="00BD71BD" w:rsidP="00BB3044">
      <w:r>
        <w:t>The department has set up</w:t>
      </w:r>
      <w:r w:rsidR="00147D67">
        <w:t xml:space="preserve"> a range of regular </w:t>
      </w:r>
      <w:r>
        <w:t>forum groups to engage with industry and other stakeholders on specific issues.</w:t>
      </w:r>
      <w:r w:rsidR="00EE3AA2">
        <w:t xml:space="preserve"> </w:t>
      </w:r>
      <w:r w:rsidR="00F936F3">
        <w:t>There are 1</w:t>
      </w:r>
      <w:r w:rsidR="00717609">
        <w:t>0</w:t>
      </w:r>
      <w:r w:rsidR="00F936F3">
        <w:t xml:space="preserve"> forum</w:t>
      </w:r>
      <w:r w:rsidR="00717609">
        <w:t>s</w:t>
      </w:r>
      <w:r w:rsidR="00F936F3">
        <w:t xml:space="preserve"> </w:t>
      </w:r>
      <w:r w:rsidR="004F4905">
        <w:t>which traverse</w:t>
      </w:r>
      <w:r w:rsidR="00717609">
        <w:t xml:space="preserve"> regulation, finance, </w:t>
      </w:r>
      <w:proofErr w:type="gramStart"/>
      <w:r w:rsidR="00717609">
        <w:t>legislation</w:t>
      </w:r>
      <w:proofErr w:type="gramEnd"/>
      <w:r w:rsidR="00717609">
        <w:t xml:space="preserve"> and animal welfare issues with industry. There are 2 forums for engagement with other government organisations, including state</w:t>
      </w:r>
      <w:r w:rsidR="004F4905">
        <w:t>s</w:t>
      </w:r>
      <w:r w:rsidR="00717609">
        <w:t xml:space="preserve"> and territor</w:t>
      </w:r>
      <w:r w:rsidR="004F4905">
        <w:t>ies</w:t>
      </w:r>
      <w:r w:rsidR="00717609">
        <w:t xml:space="preserve">. </w:t>
      </w:r>
      <w:r w:rsidR="004F4905">
        <w:t>There is 1 forum, the Livestock Export Animal Welfare Advisory Group, that includes industry as well as animal welfare advocacy stakeholder</w:t>
      </w:r>
      <w:r w:rsidR="003A6FBD">
        <w:t>s</w:t>
      </w:r>
      <w:r w:rsidR="004F4905">
        <w:t xml:space="preserve">. </w:t>
      </w:r>
      <w:r w:rsidR="00EE3AA2">
        <w:t xml:space="preserve">These </w:t>
      </w:r>
      <w:r w:rsidR="004F4905">
        <w:t xml:space="preserve">forums </w:t>
      </w:r>
      <w:r w:rsidR="00EE3AA2">
        <w:t>are held on a regular basis by face-</w:t>
      </w:r>
      <w:r w:rsidR="008C4FD9">
        <w:t>to-</w:t>
      </w:r>
      <w:r w:rsidR="00EE3AA2">
        <w:t>face meetings or dial-in video conferencing. A list of ongoing engagement forum</w:t>
      </w:r>
      <w:r w:rsidR="00717609">
        <w:t>s</w:t>
      </w:r>
      <w:r w:rsidR="00EE3AA2">
        <w:t xml:space="preserve"> and their purpose</w:t>
      </w:r>
      <w:r w:rsidR="006C7089">
        <w:t>s</w:t>
      </w:r>
      <w:r w:rsidR="00EE3AA2">
        <w:t xml:space="preserve"> can be found in </w:t>
      </w:r>
      <w:hyperlink w:anchor="_Appendix_B:_Industry" w:history="1">
        <w:r w:rsidR="00EE3AA2" w:rsidRPr="008C4FD9">
          <w:rPr>
            <w:rStyle w:val="Hyperlink"/>
          </w:rPr>
          <w:t>Appendix B</w:t>
        </w:r>
      </w:hyperlink>
      <w:r w:rsidR="00EE3AA2">
        <w:t>.</w:t>
      </w:r>
    </w:p>
    <w:p w14:paraId="43D82EB4" w14:textId="63BD2663" w:rsidR="002111DB" w:rsidRDefault="428274FA" w:rsidP="002111DB">
      <w:pPr>
        <w:pStyle w:val="Heading4"/>
      </w:pPr>
      <w:r>
        <w:t>Communication with individual regulated parties</w:t>
      </w:r>
    </w:p>
    <w:p w14:paraId="0993817D" w14:textId="10129E97" w:rsidR="002111DB" w:rsidRDefault="428274FA" w:rsidP="002111DB">
      <w:r>
        <w:t>The department interacts with individual regulated parties (exporters</w:t>
      </w:r>
      <w:r w:rsidR="51B4B7E6">
        <w:t>,</w:t>
      </w:r>
      <w:r>
        <w:t xml:space="preserve"> AAVs</w:t>
      </w:r>
      <w:r w:rsidR="51B4B7E6">
        <w:t xml:space="preserve"> and</w:t>
      </w:r>
      <w:r>
        <w:t xml:space="preserve"> </w:t>
      </w:r>
      <w:r w:rsidR="00500FBE">
        <w:t xml:space="preserve">occupiers of </w:t>
      </w:r>
      <w:r w:rsidR="51B4B7E6">
        <w:t>r</w:t>
      </w:r>
      <w:r>
        <w:t xml:space="preserve">egistered </w:t>
      </w:r>
      <w:r w:rsidR="51B4B7E6">
        <w:t>e</w:t>
      </w:r>
      <w:r>
        <w:t>stablishments) through a wide range of channels as discussed throughout this report. Interactions obviously include advice and decisions but also include</w:t>
      </w:r>
      <w:r w:rsidR="4F717473">
        <w:t xml:space="preserve"> direct</w:t>
      </w:r>
      <w:r>
        <w:t xml:space="preserve"> communication about issues of concern to the department and non-compliances. This communication is undertaken across telephone, face-to-face, email and formal written channels.</w:t>
      </w:r>
    </w:p>
    <w:p w14:paraId="5638214E" w14:textId="4D371EEA" w:rsidR="00314B8E" w:rsidRDefault="00314B8E" w:rsidP="00314B8E">
      <w:pPr>
        <w:pStyle w:val="Heading3"/>
      </w:pPr>
      <w:bookmarkStart w:id="20" w:name="_Toc131596828"/>
      <w:r>
        <w:t>External guidance material</w:t>
      </w:r>
      <w:r w:rsidR="005E368E">
        <w:t xml:space="preserve"> </w:t>
      </w:r>
      <w:r w:rsidR="00C86365">
        <w:t>and training</w:t>
      </w:r>
      <w:bookmarkEnd w:id="20"/>
    </w:p>
    <w:p w14:paraId="4DFC18F1" w14:textId="70511A12" w:rsidR="00C23939" w:rsidRDefault="00C45B27" w:rsidP="0020473E">
      <w:bookmarkStart w:id="21" w:name="_Hlk128984544"/>
      <w:r>
        <w:t xml:space="preserve">The department’s </w:t>
      </w:r>
      <w:r w:rsidR="00134F36">
        <w:t>external guidance material</w:t>
      </w:r>
      <w:r w:rsidR="00681C5D">
        <w:t xml:space="preserve"> can be found in various areas on </w:t>
      </w:r>
      <w:r w:rsidR="0000156D">
        <w:t>its</w:t>
      </w:r>
      <w:r w:rsidR="00681C5D">
        <w:t xml:space="preserve"> website. The department provides </w:t>
      </w:r>
      <w:r w:rsidR="0000156D">
        <w:t>extensive</w:t>
      </w:r>
      <w:r w:rsidR="00681C5D">
        <w:t xml:space="preserve"> links to </w:t>
      </w:r>
      <w:r w:rsidR="0000156D">
        <w:t>supporting information such as policy,</w:t>
      </w:r>
      <w:r w:rsidR="00681C5D">
        <w:t xml:space="preserve"> guidelines, </w:t>
      </w:r>
      <w:r w:rsidR="0000156D">
        <w:t xml:space="preserve">and </w:t>
      </w:r>
      <w:r w:rsidR="00681C5D">
        <w:t>legislation</w:t>
      </w:r>
      <w:r w:rsidR="0000156D">
        <w:t xml:space="preserve"> relevant to</w:t>
      </w:r>
      <w:r w:rsidR="00681C5D">
        <w:t xml:space="preserve"> each section</w:t>
      </w:r>
      <w:r w:rsidR="00071769">
        <w:t xml:space="preserve"> of</w:t>
      </w:r>
      <w:r w:rsidR="0000156D">
        <w:t xml:space="preserve"> the</w:t>
      </w:r>
      <w:r w:rsidR="00071769">
        <w:t xml:space="preserve"> livestock exports</w:t>
      </w:r>
      <w:r w:rsidR="00306287">
        <w:t xml:space="preserve"> webpages</w:t>
      </w:r>
      <w:r w:rsidR="00071769">
        <w:t>.</w:t>
      </w:r>
      <w:r w:rsidR="007D7EF7">
        <w:t xml:space="preserve"> For example, </w:t>
      </w:r>
      <w:r w:rsidR="0000156D">
        <w:t xml:space="preserve">the webpage that provides information on </w:t>
      </w:r>
      <w:r w:rsidR="001B5914">
        <w:t>ASEL</w:t>
      </w:r>
      <w:r w:rsidR="0000156D">
        <w:t xml:space="preserve"> has a link to the </w:t>
      </w:r>
      <w:r w:rsidR="007D7EF7" w:rsidRPr="003D2657">
        <w:rPr>
          <w:rStyle w:val="Emphasis"/>
        </w:rPr>
        <w:t xml:space="preserve">ASEL rejection criteria </w:t>
      </w:r>
      <w:r w:rsidR="00596E0C" w:rsidRPr="003D2657">
        <w:rPr>
          <w:rStyle w:val="Emphasis"/>
        </w:rPr>
        <w:t xml:space="preserve">guidebook for cattle and buffalo </w:t>
      </w:r>
      <w:r w:rsidR="00596E0C">
        <w:t xml:space="preserve">and a link to the </w:t>
      </w:r>
      <w:r w:rsidR="00596E0C" w:rsidRPr="003D2657">
        <w:rPr>
          <w:rStyle w:val="Emphasis"/>
        </w:rPr>
        <w:t>ASEL rejection criteria guidebook for sheep and goats</w:t>
      </w:r>
      <w:r w:rsidR="00596E0C">
        <w:t>.</w:t>
      </w:r>
      <w:r w:rsidR="007D7EF7">
        <w:t xml:space="preserve"> The department produced </w:t>
      </w:r>
      <w:r w:rsidR="00917DE9">
        <w:t>the</w:t>
      </w:r>
      <w:r w:rsidR="00FD102E">
        <w:t>se</w:t>
      </w:r>
      <w:r w:rsidR="007D7EF7">
        <w:t xml:space="preserve"> guidebook</w:t>
      </w:r>
      <w:r w:rsidR="00917DE9">
        <w:t>s</w:t>
      </w:r>
      <w:r w:rsidR="007D7EF7">
        <w:t xml:space="preserve"> to provide clarification and technical information on ASEL rejection criteria. The</w:t>
      </w:r>
      <w:r w:rsidR="00421BB5">
        <w:t>y</w:t>
      </w:r>
      <w:r w:rsidR="001D0ACC">
        <w:t xml:space="preserve"> help to reduce subjectivity when assessing livestock and</w:t>
      </w:r>
      <w:r w:rsidR="007D7EF7">
        <w:t xml:space="preserve"> </w:t>
      </w:r>
      <w:r w:rsidR="00FD102E">
        <w:t>promote consistent application of</w:t>
      </w:r>
      <w:r w:rsidR="00A75D8A">
        <w:t xml:space="preserve"> </w:t>
      </w:r>
      <w:r w:rsidR="0000156D">
        <w:t>rejection criteria</w:t>
      </w:r>
      <w:r w:rsidR="00C23939">
        <w:t>.</w:t>
      </w:r>
    </w:p>
    <w:bookmarkEnd w:id="21"/>
    <w:p w14:paraId="76659494" w14:textId="5EDEE5A9" w:rsidR="005B0419" w:rsidRDefault="000307ED" w:rsidP="005B0419">
      <w:r>
        <w:lastRenderedPageBreak/>
        <w:t>It is a requirement under ASEL that all livestock voyages are accompanied by an accredited stockperson.</w:t>
      </w:r>
      <w:r w:rsidR="00456C74">
        <w:t xml:space="preserve"> </w:t>
      </w:r>
      <w:r w:rsidR="005B0419">
        <w:t xml:space="preserve">LiveCorp provides and manages the </w:t>
      </w:r>
      <w:r w:rsidR="007805A4">
        <w:t>s</w:t>
      </w:r>
      <w:r w:rsidR="005B0419">
        <w:t xml:space="preserve">hipboard </w:t>
      </w:r>
      <w:r w:rsidR="007805A4">
        <w:t>s</w:t>
      </w:r>
      <w:r w:rsidR="005B0419">
        <w:t>tockperson training course</w:t>
      </w:r>
      <w:r w:rsidR="007805A4">
        <w:t xml:space="preserve"> and accreditation program</w:t>
      </w:r>
      <w:r w:rsidR="005B0419">
        <w:t xml:space="preserve">. The </w:t>
      </w:r>
      <w:r w:rsidR="007805A4">
        <w:t xml:space="preserve">training </w:t>
      </w:r>
      <w:r w:rsidR="005B0419">
        <w:t>course</w:t>
      </w:r>
      <w:r w:rsidR="007805A4">
        <w:t xml:space="preserve"> is</w:t>
      </w:r>
      <w:r w:rsidR="005B0419">
        <w:t xml:space="preserve"> currently held online. </w:t>
      </w:r>
      <w:r w:rsidR="0004554C">
        <w:t>A</w:t>
      </w:r>
      <w:r w:rsidR="00DF79CF">
        <w:t xml:space="preserve"> stockperson attains f</w:t>
      </w:r>
      <w:r w:rsidR="005B0419">
        <w:t xml:space="preserve">ull accreditation after passing </w:t>
      </w:r>
      <w:r w:rsidR="00DF79CF">
        <w:t xml:space="preserve">both </w:t>
      </w:r>
      <w:r w:rsidR="005B0419">
        <w:t>a written exam</w:t>
      </w:r>
      <w:r w:rsidR="00DF79CF">
        <w:t xml:space="preserve"> and</w:t>
      </w:r>
      <w:r w:rsidR="00567770">
        <w:t xml:space="preserve"> </w:t>
      </w:r>
      <w:r w:rsidR="005B0419">
        <w:t>assessment of livestock handling skills</w:t>
      </w:r>
      <w:r w:rsidR="00DF79CF">
        <w:t>,</w:t>
      </w:r>
      <w:r w:rsidR="005B0419">
        <w:t xml:space="preserve"> and </w:t>
      </w:r>
      <w:r w:rsidR="00DF79CF">
        <w:t xml:space="preserve">subsequently completes </w:t>
      </w:r>
      <w:r w:rsidR="005B0419">
        <w:t>2 voyages on livestock export vessels within 2 years. Accreditation needs to be renewed every 2 years.</w:t>
      </w:r>
      <w:r w:rsidR="009752B3">
        <w:t xml:space="preserve"> The department provides input to Live</w:t>
      </w:r>
      <w:r w:rsidR="00014D95">
        <w:t>C</w:t>
      </w:r>
      <w:r w:rsidR="009752B3">
        <w:t>orp on its requirements for the training and accreditation of stockpersons.</w:t>
      </w:r>
    </w:p>
    <w:p w14:paraId="353387AC" w14:textId="2B8D727D" w:rsidR="005B0419" w:rsidRDefault="20660C5E" w:rsidP="0020473E">
      <w:r>
        <w:t xml:space="preserve">In </w:t>
      </w:r>
      <w:r w:rsidR="0219FC5B">
        <w:t xml:space="preserve">some </w:t>
      </w:r>
      <w:r w:rsidR="009268A0">
        <w:t>instances</w:t>
      </w:r>
      <w:r w:rsidR="00802F2E">
        <w:t>,</w:t>
      </w:r>
      <w:r>
        <w:t xml:space="preserve"> an</w:t>
      </w:r>
      <w:r w:rsidR="009268A0">
        <w:t xml:space="preserve"> Australian accredited veterinarian</w:t>
      </w:r>
      <w:r>
        <w:t xml:space="preserve"> </w:t>
      </w:r>
      <w:r w:rsidR="009268A0">
        <w:t>(</w:t>
      </w:r>
      <w:r>
        <w:t>AAV</w:t>
      </w:r>
      <w:r w:rsidR="009268A0">
        <w:t xml:space="preserve">) </w:t>
      </w:r>
      <w:r>
        <w:t>may be required to accompany a voyage</w:t>
      </w:r>
      <w:r w:rsidR="74502B09">
        <w:t xml:space="preserve"> </w:t>
      </w:r>
      <w:r w:rsidR="35497436">
        <w:t>in addition to a</w:t>
      </w:r>
      <w:r w:rsidR="4537A517">
        <w:t>n accredited</w:t>
      </w:r>
      <w:r w:rsidR="35497436">
        <w:t xml:space="preserve"> stockperson</w:t>
      </w:r>
      <w:r>
        <w:t>. AAVs are also required to undertake a range of important aspects of land</w:t>
      </w:r>
      <w:r w:rsidR="350E82AC">
        <w:t>-</w:t>
      </w:r>
      <w:r>
        <w:t>based preparation of livestock for export.</w:t>
      </w:r>
      <w:r w:rsidR="69C618CE">
        <w:t xml:space="preserve"> </w:t>
      </w:r>
      <w:r w:rsidR="29266330">
        <w:t xml:space="preserve">Animal Health Australia delivers the online Australian Government </w:t>
      </w:r>
      <w:r w:rsidR="2DF378E4">
        <w:t>A</w:t>
      </w:r>
      <w:r w:rsidR="29266330">
        <w:t xml:space="preserve">ccredited </w:t>
      </w:r>
      <w:r w:rsidR="2DF378E4">
        <w:t>V</w:t>
      </w:r>
      <w:r w:rsidR="29266330">
        <w:t xml:space="preserve">eterinarian </w:t>
      </w:r>
      <w:r w:rsidR="2DF378E4">
        <w:t>C</w:t>
      </w:r>
      <w:r w:rsidR="29266330">
        <w:t>ourse based on material provided by the department.</w:t>
      </w:r>
    </w:p>
    <w:p w14:paraId="4BBB6111" w14:textId="63D31E05" w:rsidR="001273E9" w:rsidRDefault="00456C74" w:rsidP="0020473E">
      <w:r>
        <w:t>These courses are an important way in which the department communicates its requirements for livestock export.</w:t>
      </w:r>
    </w:p>
    <w:p w14:paraId="1647BB43" w14:textId="77777777" w:rsidR="004B762F" w:rsidRDefault="004B762F" w:rsidP="004B762F">
      <w:pPr>
        <w:pStyle w:val="Heading3"/>
      </w:pPr>
      <w:bookmarkStart w:id="22" w:name="_Toc131596829"/>
      <w:r>
        <w:t>Consultation</w:t>
      </w:r>
      <w:bookmarkEnd w:id="22"/>
    </w:p>
    <w:p w14:paraId="2B27F737" w14:textId="359EA1E8" w:rsidR="000C7D72" w:rsidRDefault="173380CE" w:rsidP="004B762F">
      <w:r>
        <w:t xml:space="preserve">The department </w:t>
      </w:r>
      <w:r w:rsidR="7B7D956C">
        <w:t xml:space="preserve">undertakes formal </w:t>
      </w:r>
      <w:r>
        <w:t>consult</w:t>
      </w:r>
      <w:r w:rsidR="7B7D956C">
        <w:t>ation</w:t>
      </w:r>
      <w:r>
        <w:t xml:space="preserve"> when it needs feedback on new policy, legislation, </w:t>
      </w:r>
      <w:proofErr w:type="gramStart"/>
      <w:r>
        <w:t>guidelines</w:t>
      </w:r>
      <w:proofErr w:type="gramEnd"/>
      <w:r>
        <w:t xml:space="preserve"> and procedures relevant to live animal exports. </w:t>
      </w:r>
      <w:r w:rsidR="3D920639">
        <w:t>Since 2019 the department has c</w:t>
      </w:r>
      <w:r w:rsidR="656A7629">
        <w:t>onsult</w:t>
      </w:r>
      <w:r w:rsidR="3D920639">
        <w:t xml:space="preserve">ed </w:t>
      </w:r>
      <w:r w:rsidR="656A7629">
        <w:t>on</w:t>
      </w:r>
      <w:r w:rsidR="7B7D956C">
        <w:t xml:space="preserve"> a wide range of matters including</w:t>
      </w:r>
      <w:r w:rsidR="3D920639">
        <w:t>:</w:t>
      </w:r>
    </w:p>
    <w:p w14:paraId="1D68D490" w14:textId="1464E4B9" w:rsidR="00983B93" w:rsidRDefault="00E72C47" w:rsidP="00E72C47">
      <w:pPr>
        <w:pStyle w:val="ListBullet"/>
      </w:pPr>
      <w:r>
        <w:t xml:space="preserve">the </w:t>
      </w:r>
      <w:r w:rsidR="00983B93">
        <w:t>Export Control Act</w:t>
      </w:r>
    </w:p>
    <w:p w14:paraId="399BA0C6" w14:textId="0BC39310" w:rsidR="00983B93" w:rsidRDefault="00E72C47" w:rsidP="00E72C47">
      <w:pPr>
        <w:pStyle w:val="ListBullet"/>
      </w:pPr>
      <w:r>
        <w:t xml:space="preserve">the </w:t>
      </w:r>
      <w:r w:rsidR="00983B93">
        <w:t xml:space="preserve">Export Control (Animals) </w:t>
      </w:r>
      <w:r w:rsidR="000C48C9">
        <w:t>R</w:t>
      </w:r>
      <w:r w:rsidR="00983B93">
        <w:t>ules</w:t>
      </w:r>
    </w:p>
    <w:p w14:paraId="166B1411" w14:textId="408B6B68" w:rsidR="00983B93" w:rsidRDefault="00E72C47" w:rsidP="00E72C47">
      <w:pPr>
        <w:pStyle w:val="ListBullet"/>
      </w:pPr>
      <w:r>
        <w:t>c</w:t>
      </w:r>
      <w:r w:rsidR="00983B93">
        <w:t>ost recovery for live animal exports</w:t>
      </w:r>
    </w:p>
    <w:p w14:paraId="39D9C650" w14:textId="5947B76D" w:rsidR="00983B93" w:rsidRDefault="399A4DA0" w:rsidP="00E72C47">
      <w:pPr>
        <w:pStyle w:val="ListBullet"/>
      </w:pPr>
      <w:r>
        <w:t>h</w:t>
      </w:r>
      <w:r w:rsidR="3D920639">
        <w:t xml:space="preserve">eat and cold stress in </w:t>
      </w:r>
      <w:r w:rsidR="3D920639" w:rsidRPr="009268A0">
        <w:rPr>
          <w:i/>
          <w:iCs/>
        </w:rPr>
        <w:t xml:space="preserve">Bos </w:t>
      </w:r>
      <w:r w:rsidR="65E365FA" w:rsidRPr="009268A0">
        <w:rPr>
          <w:i/>
          <w:iCs/>
        </w:rPr>
        <w:t>t</w:t>
      </w:r>
      <w:r w:rsidR="3D920639" w:rsidRPr="009268A0">
        <w:rPr>
          <w:i/>
          <w:iCs/>
        </w:rPr>
        <w:t>aurus</w:t>
      </w:r>
      <w:r w:rsidR="3D920639">
        <w:t xml:space="preserve"> cattle</w:t>
      </w:r>
    </w:p>
    <w:p w14:paraId="29BBE3AA" w14:textId="232B7700" w:rsidR="00E72C47" w:rsidRDefault="00E72C47" w:rsidP="00E72C47">
      <w:pPr>
        <w:pStyle w:val="ListBullet"/>
      </w:pPr>
      <w:r w:rsidRPr="00E72C47">
        <w:t>the Australian Standards for the Export of Livestock</w:t>
      </w:r>
    </w:p>
    <w:p w14:paraId="599C2076" w14:textId="497D2EE1" w:rsidR="00983B93" w:rsidRDefault="399A4DA0" w:rsidP="00E72C47">
      <w:pPr>
        <w:pStyle w:val="ListBullet"/>
      </w:pPr>
      <w:r>
        <w:t>t</w:t>
      </w:r>
      <w:r w:rsidR="3D920639">
        <w:t xml:space="preserve">hird party assurance scheme for exported </w:t>
      </w:r>
      <w:proofErr w:type="gramStart"/>
      <w:r w:rsidR="3D920639">
        <w:t>livestock</w:t>
      </w:r>
      <w:proofErr w:type="gramEnd"/>
    </w:p>
    <w:p w14:paraId="6C18B0CC" w14:textId="57007159" w:rsidR="00983B93" w:rsidRDefault="00E72C47" w:rsidP="00E72C47">
      <w:pPr>
        <w:pStyle w:val="ListBullet"/>
      </w:pPr>
      <w:r>
        <w:t>r</w:t>
      </w:r>
      <w:r w:rsidR="00983B93" w:rsidRPr="00983B93">
        <w:t>egistered establishment guidelines for the export of livestock by sea</w:t>
      </w:r>
    </w:p>
    <w:p w14:paraId="38E502DF" w14:textId="1A5D9332" w:rsidR="00983B93" w:rsidRDefault="00E72C47" w:rsidP="00E72C47">
      <w:pPr>
        <w:pStyle w:val="ListBullet"/>
      </w:pPr>
      <w:r w:rsidRPr="00E72C47">
        <w:t>live sheep exports by sea, to or through, the Middle East during the northern hemisphere summer</w:t>
      </w:r>
      <w:r>
        <w:t>.</w:t>
      </w:r>
    </w:p>
    <w:p w14:paraId="58E7B030" w14:textId="57B7C3F4" w:rsidR="004B762F" w:rsidRDefault="48E59950" w:rsidP="004B762F">
      <w:r>
        <w:t xml:space="preserve">Stakeholders are consulted to </w:t>
      </w:r>
      <w:r w:rsidR="6D6533FC">
        <w:t xml:space="preserve">seek to </w:t>
      </w:r>
      <w:r>
        <w:t>ensure</w:t>
      </w:r>
      <w:r w:rsidR="6D6533FC">
        <w:t xml:space="preserve"> that when the department </w:t>
      </w:r>
      <w:r w:rsidR="407AEFAC">
        <w:t>p</w:t>
      </w:r>
      <w:r w:rsidR="6D6533FC">
        <w:t xml:space="preserve">uts in place </w:t>
      </w:r>
      <w:r>
        <w:t>any new or updated requirements</w:t>
      </w:r>
      <w:r w:rsidR="6D6533FC">
        <w:t>, they</w:t>
      </w:r>
      <w:r>
        <w:t xml:space="preserve"> are practical and fit for purpose, and appropriate guidance material is available.</w:t>
      </w:r>
      <w:r w:rsidR="29BE269A">
        <w:t xml:space="preserve"> </w:t>
      </w:r>
      <w:r w:rsidR="6D6533FC">
        <w:t>Many of the issues which the department consults on are</w:t>
      </w:r>
      <w:r w:rsidR="29BE269A">
        <w:t xml:space="preserve"> contested</w:t>
      </w:r>
      <w:r w:rsidR="6D6533FC">
        <w:t xml:space="preserve"> with a wide range of views and perspectives</w:t>
      </w:r>
      <w:r w:rsidR="24951621">
        <w:t xml:space="preserve"> across stakeholders</w:t>
      </w:r>
      <w:r w:rsidR="29BE269A">
        <w:t xml:space="preserve">. The </w:t>
      </w:r>
      <w:r w:rsidR="6D6533FC">
        <w:t xml:space="preserve">approach the </w:t>
      </w:r>
      <w:r w:rsidR="29BE269A">
        <w:t xml:space="preserve">department </w:t>
      </w:r>
      <w:r w:rsidR="6D6533FC">
        <w:t>has taken</w:t>
      </w:r>
      <w:r w:rsidR="250D94B8">
        <w:t xml:space="preserve"> to developing policy positions</w:t>
      </w:r>
      <w:r w:rsidR="6D6533FC">
        <w:t xml:space="preserve"> </w:t>
      </w:r>
      <w:r w:rsidR="250D94B8">
        <w:t xml:space="preserve">in </w:t>
      </w:r>
      <w:r w:rsidR="004B762F">
        <w:t>recent times is more</w:t>
      </w:r>
      <w:r w:rsidR="250D94B8">
        <w:t xml:space="preserve"> </w:t>
      </w:r>
      <w:r w:rsidR="3C9A4103">
        <w:t xml:space="preserve">rigorously </w:t>
      </w:r>
      <w:r w:rsidR="250D94B8">
        <w:t>evidence based. That is</w:t>
      </w:r>
      <w:r w:rsidR="2DABBE35">
        <w:t>,</w:t>
      </w:r>
      <w:r w:rsidR="250D94B8">
        <w:t xml:space="preserve"> the department develops</w:t>
      </w:r>
      <w:r w:rsidR="6D6533FC">
        <w:t xml:space="preserve"> </w:t>
      </w:r>
      <w:r w:rsidR="29BE269A">
        <w:t>its position</w:t>
      </w:r>
      <w:r w:rsidR="250D94B8">
        <w:t xml:space="preserve"> based on technical and practical evidence and then presents this</w:t>
      </w:r>
      <w:r w:rsidR="29BE269A">
        <w:t xml:space="preserve"> to stakeholders. In turn, stakeholders provide their </w:t>
      </w:r>
      <w:r w:rsidR="2DABBE35">
        <w:t>opinions</w:t>
      </w:r>
      <w:r w:rsidR="29BE269A">
        <w:t xml:space="preserve"> and</w:t>
      </w:r>
      <w:r w:rsidR="250D94B8">
        <w:t xml:space="preserve"> evidence to support </w:t>
      </w:r>
      <w:r w:rsidR="2DABBE35">
        <w:t xml:space="preserve">their position </w:t>
      </w:r>
      <w:r w:rsidR="250D94B8">
        <w:t>through submissions or other consultation avenues provided by the department.</w:t>
      </w:r>
    </w:p>
    <w:p w14:paraId="3E54718C" w14:textId="17A24BE1" w:rsidR="00B314FE" w:rsidRDefault="00E72C47" w:rsidP="004B762F">
      <w:r>
        <w:t xml:space="preserve">The department </w:t>
      </w:r>
      <w:r w:rsidR="00B25879">
        <w:t xml:space="preserve">often </w:t>
      </w:r>
      <w:r>
        <w:t>gather</w:t>
      </w:r>
      <w:r w:rsidR="00B25879">
        <w:t>s</w:t>
      </w:r>
      <w:r>
        <w:t xml:space="preserve"> information</w:t>
      </w:r>
      <w:r w:rsidR="00B314FE">
        <w:t xml:space="preserve"> </w:t>
      </w:r>
      <w:r w:rsidR="00B25879">
        <w:t>and evidence prior to developing and formally consulting on a particular matter and does this through a range of approaches such as</w:t>
      </w:r>
      <w:r w:rsidR="00C23939">
        <w:t xml:space="preserve"> </w:t>
      </w:r>
      <w:r w:rsidR="00B314FE">
        <w:t xml:space="preserve">meetings, </w:t>
      </w:r>
      <w:proofErr w:type="gramStart"/>
      <w:r w:rsidR="00B314FE">
        <w:t>workshops</w:t>
      </w:r>
      <w:proofErr w:type="gramEnd"/>
      <w:r w:rsidR="00B314FE">
        <w:t xml:space="preserve"> and conferences.</w:t>
      </w:r>
      <w:r w:rsidR="00B25879">
        <w:t xml:space="preserve"> The department also uses a range of approaches to gain input when it is formally consulting.</w:t>
      </w:r>
      <w:r w:rsidR="00B314FE">
        <w:t xml:space="preserve"> </w:t>
      </w:r>
      <w:r w:rsidR="00B25879">
        <w:t xml:space="preserve">However, the main approach </w:t>
      </w:r>
      <w:r w:rsidR="00AE1CA5">
        <w:t xml:space="preserve">the department uses </w:t>
      </w:r>
      <w:r w:rsidR="00B25879">
        <w:t xml:space="preserve">for formal </w:t>
      </w:r>
      <w:r w:rsidR="00B25879">
        <w:lastRenderedPageBreak/>
        <w:t>consultations</w:t>
      </w:r>
      <w:r w:rsidR="004B762F">
        <w:t xml:space="preserve"> </w:t>
      </w:r>
      <w:r w:rsidR="00B25879">
        <w:t xml:space="preserve">is </w:t>
      </w:r>
      <w:r w:rsidR="004B762F">
        <w:t xml:space="preserve">the </w:t>
      </w:r>
      <w:hyperlink r:id="rId22" w:history="1">
        <w:r w:rsidR="004B762F" w:rsidRPr="00BB3044">
          <w:rPr>
            <w:rStyle w:val="Hyperlink"/>
          </w:rPr>
          <w:t>Have Your Say</w:t>
        </w:r>
      </w:hyperlink>
      <w:r w:rsidR="004B762F">
        <w:t xml:space="preserve"> </w:t>
      </w:r>
      <w:r w:rsidR="00FF6B68">
        <w:t xml:space="preserve">(HYS) </w:t>
      </w:r>
      <w:r w:rsidR="00B25879">
        <w:t>consultation</w:t>
      </w:r>
      <w:r w:rsidR="004B762F">
        <w:t xml:space="preserve"> platform</w:t>
      </w:r>
      <w:r w:rsidR="0095461E">
        <w:t>,</w:t>
      </w:r>
      <w:r w:rsidR="00B25879">
        <w:t xml:space="preserve"> </w:t>
      </w:r>
      <w:r w:rsidR="0095461E">
        <w:t>which</w:t>
      </w:r>
      <w:r w:rsidR="00B25879">
        <w:t xml:space="preserve"> allows stakeholders to make a </w:t>
      </w:r>
      <w:r w:rsidR="003B5840">
        <w:t xml:space="preserve">formal </w:t>
      </w:r>
      <w:r w:rsidR="00B25879">
        <w:t>submission.</w:t>
      </w:r>
    </w:p>
    <w:p w14:paraId="4B5EF9C7" w14:textId="33D883E9" w:rsidR="004B762F" w:rsidRDefault="004B762F" w:rsidP="004B762F">
      <w:r>
        <w:t xml:space="preserve">From February 2019 to August 2022 the department used the </w:t>
      </w:r>
      <w:r w:rsidR="00FF6B68">
        <w:t>HYS</w:t>
      </w:r>
      <w:r>
        <w:t xml:space="preserve"> platform 26 times to consult on livestock export</w:t>
      </w:r>
      <w:r w:rsidR="0095461E">
        <w:t>s</w:t>
      </w:r>
      <w:r>
        <w:t xml:space="preserve">. </w:t>
      </w:r>
      <w:r w:rsidR="00B25879">
        <w:t>For some matters m</w:t>
      </w:r>
      <w:r>
        <w:t xml:space="preserve">ultiple submission processes have </w:t>
      </w:r>
      <w:r w:rsidR="00B25879">
        <w:t>been involved</w:t>
      </w:r>
      <w:r w:rsidR="00EA335F">
        <w:t>.</w:t>
      </w:r>
      <w:r>
        <w:t xml:space="preserve"> For example, there were 6 submission processes for cost recovery and 5 for the Export Control (Animals) Rules 2020.</w:t>
      </w:r>
    </w:p>
    <w:p w14:paraId="6263FCCE" w14:textId="77777777" w:rsidR="004B762F" w:rsidRDefault="173380CE" w:rsidP="004B762F">
      <w:r>
        <w:t xml:space="preserve">The length and timing of a public submission process is important. The number of days a submission is open is determined by factors such as urgency, </w:t>
      </w:r>
      <w:proofErr w:type="gramStart"/>
      <w:r>
        <w:t>importance</w:t>
      </w:r>
      <w:proofErr w:type="gramEnd"/>
      <w:r>
        <w:t xml:space="preserve"> or government guidelines. Depending on the significance of the proposal, between 30 to 60 days is usually appropriate for effective consultation, with 30 days considered the minimum. Longer consultation periods may be necessary when they fall around holiday periods (PMC 2020).</w:t>
      </w:r>
    </w:p>
    <w:p w14:paraId="30E657EF" w14:textId="0A05CA71" w:rsidR="004B762F" w:rsidRDefault="004B762F" w:rsidP="004B762F">
      <w:r>
        <w:t>F</w:t>
      </w:r>
      <w:r w:rsidRPr="0054406E">
        <w:t>rom February 2019 to August 2022</w:t>
      </w:r>
      <w:r>
        <w:t xml:space="preserve"> the number of days a submission process was open varied significantly. The shortest period was 11 days for </w:t>
      </w:r>
      <w:r w:rsidR="00BB5AAA">
        <w:t>‘Feedback on</w:t>
      </w:r>
      <w:r w:rsidRPr="00BB5AAA">
        <w:t xml:space="preserve"> </w:t>
      </w:r>
      <w:r w:rsidR="00BB5AAA">
        <w:t>the e</w:t>
      </w:r>
      <w:r w:rsidRPr="00BB5AAA">
        <w:t>xport of sheep to the Middle East during September and October 2019</w:t>
      </w:r>
      <w:r w:rsidR="00BB5AAA">
        <w:t>’</w:t>
      </w:r>
      <w:r w:rsidRPr="00DA7918">
        <w:rPr>
          <w:rStyle w:val="Emphasis"/>
        </w:rPr>
        <w:t>.</w:t>
      </w:r>
      <w:r>
        <w:t xml:space="preserve"> The longest period was approximately 6 months for the</w:t>
      </w:r>
      <w:r w:rsidR="007C7995">
        <w:t xml:space="preserve"> </w:t>
      </w:r>
      <w:r w:rsidR="00875334">
        <w:t>‘C</w:t>
      </w:r>
      <w:r w:rsidR="00265BDE">
        <w:t xml:space="preserve">ost recovery </w:t>
      </w:r>
      <w:r>
        <w:t>for live animal exports</w:t>
      </w:r>
      <w:r w:rsidR="00875334">
        <w:t>’</w:t>
      </w:r>
      <w:r w:rsidR="00EA335F">
        <w:t xml:space="preserve"> </w:t>
      </w:r>
      <w:r w:rsidR="00875334">
        <w:t xml:space="preserve">submit your feedback online </w:t>
      </w:r>
      <w:r w:rsidR="00EA335F">
        <w:t>consultation</w:t>
      </w:r>
      <w:r>
        <w:t>.</w:t>
      </w:r>
    </w:p>
    <w:p w14:paraId="0FC83149" w14:textId="51745062" w:rsidR="004B762F" w:rsidRDefault="00EA335F" w:rsidP="004B762F">
      <w:r>
        <w:t>The largest number of submissions received for any project was 681 submissions for t</w:t>
      </w:r>
      <w:r w:rsidR="004B762F" w:rsidRPr="001438B0">
        <w:t xml:space="preserve">he </w:t>
      </w:r>
      <w:r w:rsidR="004B762F" w:rsidRPr="000C7ACE">
        <w:rPr>
          <w:rStyle w:val="Emphasis"/>
        </w:rPr>
        <w:t>Review of live sheep exports by sea to, or through, the Middle East during the Northern Hemisphere summer</w:t>
      </w:r>
      <w:r>
        <w:t>. This consultation</w:t>
      </w:r>
      <w:r w:rsidR="00C23939">
        <w:t xml:space="preserve"> </w:t>
      </w:r>
      <w:r w:rsidR="004B762F">
        <w:t xml:space="preserve">was open for 43 days from 17 December 2021 to 28 January 2022. The inspector-general heard that this was </w:t>
      </w:r>
      <w:r>
        <w:t>inconvenient for a range of stakeholders as it occurred over the summer holiday period</w:t>
      </w:r>
      <w:r w:rsidR="00C23939">
        <w:t>.</w:t>
      </w:r>
      <w:r>
        <w:t xml:space="preserve"> </w:t>
      </w:r>
      <w:r w:rsidR="00C23939">
        <w:t>I</w:t>
      </w:r>
      <w:r>
        <w:t xml:space="preserve">t was </w:t>
      </w:r>
      <w:r w:rsidR="004B762F">
        <w:t>a particularly inconvenient time for exporters as it</w:t>
      </w:r>
      <w:r>
        <w:t xml:space="preserve"> also</w:t>
      </w:r>
      <w:r w:rsidR="004B762F">
        <w:t xml:space="preserve"> coincided with the Independent Performance Audit Report reporting period for </w:t>
      </w:r>
      <w:r w:rsidR="0064747F">
        <w:t>E</w:t>
      </w:r>
      <w:r w:rsidR="004B762F">
        <w:t xml:space="preserve">xporter </w:t>
      </w:r>
      <w:r w:rsidR="0064747F">
        <w:t>S</w:t>
      </w:r>
      <w:r w:rsidR="004B762F">
        <w:t xml:space="preserve">upply </w:t>
      </w:r>
      <w:r w:rsidR="0064747F">
        <w:t>C</w:t>
      </w:r>
      <w:r w:rsidR="004B762F">
        <w:t xml:space="preserve">hain </w:t>
      </w:r>
      <w:r w:rsidR="0064747F">
        <w:t>A</w:t>
      </w:r>
      <w:r w:rsidR="004B762F">
        <w:t xml:space="preserve">ssurance </w:t>
      </w:r>
      <w:r w:rsidR="0064747F">
        <w:t>S</w:t>
      </w:r>
      <w:r w:rsidR="004B762F">
        <w:t>ystem</w:t>
      </w:r>
      <w:r w:rsidR="003D2657">
        <w:t xml:space="preserve"> (ESCAS)</w:t>
      </w:r>
      <w:r w:rsidR="004B762F">
        <w:t xml:space="preserve"> participants.</w:t>
      </w:r>
    </w:p>
    <w:p w14:paraId="15021C9C" w14:textId="7AFBD217" w:rsidR="00B314FE" w:rsidRDefault="00FC6A5E" w:rsidP="004B762F">
      <w:r>
        <w:t>The timing of submissions can also impact the quality when several submissions overlap each other. For example, f</w:t>
      </w:r>
      <w:r w:rsidR="00B314FE">
        <w:t xml:space="preserve">rom mid-September to </w:t>
      </w:r>
      <w:r>
        <w:t>early</w:t>
      </w:r>
      <w:r w:rsidR="00AA646D">
        <w:t xml:space="preserve"> </w:t>
      </w:r>
      <w:r>
        <w:t xml:space="preserve">December 2019 the department had </w:t>
      </w:r>
      <w:r w:rsidR="00C81250">
        <w:br/>
      </w:r>
      <w:r>
        <w:t xml:space="preserve">5 submission processes open. Subjects included legislation, ASEL, animal welfare and cost recovery. During this period at least 3 submission processes overlapped </w:t>
      </w:r>
      <w:r w:rsidR="003C6061">
        <w:t>at any given time</w:t>
      </w:r>
      <w:r>
        <w:t>.</w:t>
      </w:r>
    </w:p>
    <w:p w14:paraId="0E177F9C" w14:textId="77777777" w:rsidR="004B762F" w:rsidRDefault="004B762F" w:rsidP="004B762F">
      <w:pPr>
        <w:pStyle w:val="Heading3"/>
      </w:pPr>
      <w:bookmarkStart w:id="23" w:name="_Toc131596830"/>
      <w:r>
        <w:t>Collaboration</w:t>
      </w:r>
      <w:bookmarkEnd w:id="23"/>
    </w:p>
    <w:p w14:paraId="66544D60" w14:textId="3A883893" w:rsidR="00382C3A" w:rsidRDefault="004B762F" w:rsidP="004F2D9F">
      <w:r>
        <w:t>T</w:t>
      </w:r>
      <w:r w:rsidRPr="00FB1AC0">
        <w:t xml:space="preserve">he department </w:t>
      </w:r>
      <w:r>
        <w:t>collaborates with</w:t>
      </w:r>
      <w:r w:rsidRPr="00FB1AC0">
        <w:t xml:space="preserve"> stakeholders </w:t>
      </w:r>
      <w:r w:rsidR="00F01E02">
        <w:t xml:space="preserve">where there are common interests and issues that would benefit from a collaborative approach to </w:t>
      </w:r>
      <w:r w:rsidR="00D87CEF">
        <w:t>methods</w:t>
      </w:r>
      <w:r w:rsidR="00F01E02">
        <w:t xml:space="preserve"> and solutions.</w:t>
      </w:r>
    </w:p>
    <w:p w14:paraId="370E9811" w14:textId="04487F7A" w:rsidR="004F2D9F" w:rsidRDefault="3BA1353C" w:rsidP="004F2D9F">
      <w:r>
        <w:t>An</w:t>
      </w:r>
      <w:r w:rsidR="2B72EE1E">
        <w:t xml:space="preserve"> important collaboration, </w:t>
      </w:r>
      <w:r w:rsidR="4E894EBD">
        <w:t xml:space="preserve">particularly for industry </w:t>
      </w:r>
      <w:r w:rsidR="5CA5E341">
        <w:t>co-design projects</w:t>
      </w:r>
      <w:r w:rsidR="4E3D7996">
        <w:t>,</w:t>
      </w:r>
      <w:r w:rsidR="5CA5E341">
        <w:t xml:space="preserve"> </w:t>
      </w:r>
      <w:r w:rsidR="4E3D7996">
        <w:t xml:space="preserve">is </w:t>
      </w:r>
      <w:r w:rsidR="5CA5E341">
        <w:t xml:space="preserve">with </w:t>
      </w:r>
      <w:hyperlink r:id="rId23">
        <w:r w:rsidR="173380CE" w:rsidRPr="3CE7DD6E">
          <w:rPr>
            <w:rStyle w:val="Hyperlink"/>
          </w:rPr>
          <w:t>LiveCorp</w:t>
        </w:r>
      </w:hyperlink>
      <w:r w:rsidR="5CA5E341" w:rsidRPr="3CE7DD6E">
        <w:rPr>
          <w:rStyle w:val="Hyperlink"/>
        </w:rPr>
        <w:t xml:space="preserve">. </w:t>
      </w:r>
      <w:r w:rsidR="5CA5E341">
        <w:t>Live</w:t>
      </w:r>
      <w:r w:rsidR="3469E73E">
        <w:t>C</w:t>
      </w:r>
      <w:r w:rsidR="5CA5E341">
        <w:t>orp</w:t>
      </w:r>
      <w:r w:rsidR="173380CE">
        <w:t xml:space="preserve"> is the service provider and research body for the Australian livestock export industry. </w:t>
      </w:r>
      <w:r w:rsidR="1E61E439">
        <w:t xml:space="preserve">They provide training for the livestock export industry to improve animal welfare and maintain market access. They also work with the department on projects to improve supply chain efficiencies and regulatory performance. </w:t>
      </w:r>
      <w:r w:rsidR="4E3D7996">
        <w:t>Two recent and important examples of this</w:t>
      </w:r>
      <w:r w:rsidR="005728B4">
        <w:t xml:space="preserve"> </w:t>
      </w:r>
      <w:r w:rsidR="4E3D7996">
        <w:t xml:space="preserve">collaboration are in the development of </w:t>
      </w:r>
      <w:proofErr w:type="spellStart"/>
      <w:r w:rsidR="4E3D7996">
        <w:t>LIVEXCollect</w:t>
      </w:r>
      <w:proofErr w:type="spellEnd"/>
      <w:r w:rsidR="4E3D7996">
        <w:t xml:space="preserve"> and the standardisation of export declarations.</w:t>
      </w:r>
    </w:p>
    <w:p w14:paraId="0637C020" w14:textId="22EC8F18" w:rsidR="004B762F" w:rsidRDefault="004B762F" w:rsidP="004B762F">
      <w:r>
        <w:t xml:space="preserve">In November 2020 the </w:t>
      </w:r>
      <w:proofErr w:type="spellStart"/>
      <w:r>
        <w:t>LIVEXCollect</w:t>
      </w:r>
      <w:proofErr w:type="spellEnd"/>
      <w:r>
        <w:t xml:space="preserve"> export journey reporting tool was released following extensive collaboration between LiveCorp and the department on its development. The introduction of </w:t>
      </w:r>
      <w:proofErr w:type="spellStart"/>
      <w:r>
        <w:t>LIVEXCollect</w:t>
      </w:r>
      <w:proofErr w:type="spellEnd"/>
      <w:r>
        <w:t xml:space="preserve"> provided the department and industry with a </w:t>
      </w:r>
      <w:proofErr w:type="gramStart"/>
      <w:r>
        <w:t>digitally-based</w:t>
      </w:r>
      <w:proofErr w:type="gramEnd"/>
      <w:r>
        <w:t xml:space="preserve"> reporting tool (rather than the previous paper-based reporting) and delivered a wider range of information that is easily collated and analysed through department</w:t>
      </w:r>
      <w:r w:rsidR="008B314F">
        <w:t>al</w:t>
      </w:r>
      <w:r>
        <w:t xml:space="preserve"> systems</w:t>
      </w:r>
      <w:r w:rsidR="00ED5CF2">
        <w:t xml:space="preserve"> to support both compliance assurance and performance data analysis</w:t>
      </w:r>
      <w:r>
        <w:t>.</w:t>
      </w:r>
    </w:p>
    <w:p w14:paraId="23D234EA" w14:textId="0A3D38AE" w:rsidR="004B762F" w:rsidRDefault="4E3D7996" w:rsidP="004B762F">
      <w:proofErr w:type="spellStart"/>
      <w:r>
        <w:lastRenderedPageBreak/>
        <w:t>LIVEXCollect’s</w:t>
      </w:r>
      <w:proofErr w:type="spellEnd"/>
      <w:r w:rsidR="173380CE">
        <w:t xml:space="preserve"> primary purpose is to provide exporters with an approved reporting form to meet ASEL requirements</w:t>
      </w:r>
      <w:r>
        <w:t>, as a part of the department</w:t>
      </w:r>
      <w:r w:rsidR="73DF8409">
        <w:t>’</w:t>
      </w:r>
      <w:r>
        <w:t>s compliance assurance framework</w:t>
      </w:r>
      <w:r w:rsidR="173380CE">
        <w:t xml:space="preserve">. However, the much broader and more detailed picture of export journey conditions provided by </w:t>
      </w:r>
      <w:proofErr w:type="spellStart"/>
      <w:r w:rsidR="173380CE">
        <w:t>LIVEXCollect</w:t>
      </w:r>
      <w:proofErr w:type="spellEnd"/>
      <w:r w:rsidR="173380CE">
        <w:t xml:space="preserve"> has</w:t>
      </w:r>
      <w:r>
        <w:t xml:space="preserve"> also</w:t>
      </w:r>
      <w:r w:rsidR="173380CE">
        <w:t xml:space="preserve"> improved the department’s ability to analyse voyage </w:t>
      </w:r>
      <w:r w:rsidR="057CD311">
        <w:t xml:space="preserve">and air journey </w:t>
      </w:r>
      <w:r w:rsidR="173380CE">
        <w:t>outcomes to</w:t>
      </w:r>
      <w:r>
        <w:t xml:space="preserve"> support</w:t>
      </w:r>
      <w:r w:rsidR="173380CE">
        <w:t xml:space="preserve"> review</w:t>
      </w:r>
      <w:r>
        <w:t>s of</w:t>
      </w:r>
      <w:r w:rsidR="173380CE">
        <w:t xml:space="preserve"> regulatory requirements and further improve animal welfare outcomes </w:t>
      </w:r>
      <w:r>
        <w:t>by providing data that can feed into</w:t>
      </w:r>
      <w:r w:rsidR="173380CE">
        <w:t xml:space="preserve"> evidence-based policy development.</w:t>
      </w:r>
    </w:p>
    <w:p w14:paraId="5244ABB4" w14:textId="562BDEA6" w:rsidR="004B762F" w:rsidRDefault="4A9E939E" w:rsidP="004B762F">
      <w:r>
        <w:t xml:space="preserve">In mid-2022 the department further collaborated with LiveCorp to identify and update animal welfare indicator data fields in </w:t>
      </w:r>
      <w:proofErr w:type="spellStart"/>
      <w:r>
        <w:t>LIVEXCollect</w:t>
      </w:r>
      <w:proofErr w:type="spellEnd"/>
      <w:r>
        <w:t xml:space="preserve">. The updates will provide improved information about animal welfare onboard </w:t>
      </w:r>
      <w:proofErr w:type="gramStart"/>
      <w:r>
        <w:t>vessels, and</w:t>
      </w:r>
      <w:proofErr w:type="gramEnd"/>
      <w:r>
        <w:t xml:space="preserve"> make assessing and analysing the data collected easier for the department and exporters. The revised data collection requirements will be incorporated in the new </w:t>
      </w:r>
      <w:proofErr w:type="spellStart"/>
      <w:r>
        <w:t>LIVEXCollect</w:t>
      </w:r>
      <w:proofErr w:type="spellEnd"/>
      <w:r>
        <w:t xml:space="preserve"> smart device application and further analysis of trends in animal welfare data will be possible once the app is in operation. LiveCorp has indicated the app will be available for use from mid-2023.</w:t>
      </w:r>
    </w:p>
    <w:p w14:paraId="1A6E3C18" w14:textId="1D0C0F3F" w:rsidR="007D3417" w:rsidRDefault="54253BAE" w:rsidP="004B762F">
      <w:r>
        <w:t>In 2021</w:t>
      </w:r>
      <w:r w:rsidR="2CE05094">
        <w:t>–</w:t>
      </w:r>
      <w:r>
        <w:t xml:space="preserve">22 LiveCorp undertook a project </w:t>
      </w:r>
      <w:hyperlink r:id="rId24">
        <w:r w:rsidRPr="4770B6D3">
          <w:rPr>
            <w:rStyle w:val="Hyperlink"/>
          </w:rPr>
          <w:t>Improving regulatory efficiency and consistency through standardised export declarations</w:t>
        </w:r>
      </w:hyperlink>
      <w:r>
        <w:t xml:space="preserve"> to standardise pregnancy, spay and vendor declarations for South-East Asian cattle markets. The </w:t>
      </w:r>
      <w:r w:rsidR="4069822C">
        <w:t>benefit for industry in</w:t>
      </w:r>
      <w:r>
        <w:t xml:space="preserve"> standardising these declarations was to create consistency across the industry</w:t>
      </w:r>
      <w:r w:rsidR="4069822C">
        <w:t>, increase efficiency,</w:t>
      </w:r>
      <w:r>
        <w:t xml:space="preserve"> and reduce the </w:t>
      </w:r>
      <w:r w:rsidR="4069822C">
        <w:t xml:space="preserve">potential for error </w:t>
      </w:r>
      <w:r>
        <w:t xml:space="preserve">associated with exporters providing their own </w:t>
      </w:r>
      <w:r w:rsidR="4069822C">
        <w:t xml:space="preserve">bespoke </w:t>
      </w:r>
      <w:r>
        <w:t>declarations.</w:t>
      </w:r>
      <w:r w:rsidR="4069822C">
        <w:t xml:space="preserve"> The benefit for the department was </w:t>
      </w:r>
      <w:r w:rsidR="3329EDE8">
        <w:t>in efficiency in assessing declarations</w:t>
      </w:r>
      <w:r w:rsidR="49A4E31C">
        <w:t>,</w:t>
      </w:r>
      <w:r w:rsidR="3329EDE8">
        <w:t xml:space="preserve"> </w:t>
      </w:r>
      <w:r w:rsidR="008F6628">
        <w:t>and</w:t>
      </w:r>
      <w:r w:rsidR="3329EDE8">
        <w:t xml:space="preserve"> to encourage and support high levels of voluntary compliance by reducing the potential for error.</w:t>
      </w:r>
      <w:r>
        <w:t xml:space="preserve"> LiveCorp</w:t>
      </w:r>
      <w:r w:rsidR="3329EDE8">
        <w:t>, and their consultants who undertook the project,</w:t>
      </w:r>
      <w:r>
        <w:t xml:space="preserve"> </w:t>
      </w:r>
      <w:proofErr w:type="gramStart"/>
      <w:r w:rsidR="3329EDE8">
        <w:t>met</w:t>
      </w:r>
      <w:proofErr w:type="gramEnd"/>
      <w:r w:rsidR="3329EDE8">
        <w:t xml:space="preserve"> and consulted with</w:t>
      </w:r>
      <w:r>
        <w:t xml:space="preserve"> </w:t>
      </w:r>
      <w:r w:rsidR="008F6628">
        <w:t xml:space="preserve">departmental </w:t>
      </w:r>
      <w:r>
        <w:t xml:space="preserve">staff </w:t>
      </w:r>
      <w:r w:rsidR="3329EDE8">
        <w:t>to discuss departmental requirements for these declarations.</w:t>
      </w:r>
    </w:p>
    <w:p w14:paraId="7144ED13" w14:textId="43E350AC" w:rsidR="00FC001C" w:rsidRDefault="00FC001C" w:rsidP="004B762F">
      <w:r>
        <w:t xml:space="preserve">The department collaborates with other government agencies. For example, the department meets with the Australian Maritime Safety Authority on vessel requirements and state and territory governments on animal welfare </w:t>
      </w:r>
      <w:r w:rsidR="00EF0142">
        <w:t>policy and standards</w:t>
      </w:r>
      <w:r>
        <w:t>. This review did not examine these collaborations.</w:t>
      </w:r>
    </w:p>
    <w:p w14:paraId="530C2E32" w14:textId="0EFA3046" w:rsidR="00946DC7" w:rsidRDefault="00946DC7" w:rsidP="00946DC7">
      <w:pPr>
        <w:pStyle w:val="Heading3"/>
      </w:pPr>
      <w:bookmarkStart w:id="24" w:name="_Toc131596831"/>
      <w:r>
        <w:t xml:space="preserve">Observations and </w:t>
      </w:r>
      <w:r w:rsidR="008E747C">
        <w:t>findings</w:t>
      </w:r>
      <w:bookmarkEnd w:id="24"/>
    </w:p>
    <w:p w14:paraId="7CB460E3" w14:textId="34AC4F85" w:rsidR="006D09CE" w:rsidRDefault="00B8611D" w:rsidP="00C9301A">
      <w:r w:rsidRPr="00B8611D">
        <w:t xml:space="preserve">The inspector-general considers </w:t>
      </w:r>
      <w:r w:rsidR="001B019E">
        <w:t xml:space="preserve">that </w:t>
      </w:r>
      <w:r w:rsidRPr="00B8611D">
        <w:t>the department</w:t>
      </w:r>
      <w:r w:rsidR="001B019E">
        <w:t xml:space="preserve"> undertakes </w:t>
      </w:r>
      <w:r w:rsidR="00C11D9F">
        <w:t>its</w:t>
      </w:r>
      <w:r w:rsidR="001B019E">
        <w:t xml:space="preserve"> formal consultation processes in line with </w:t>
      </w:r>
      <w:r w:rsidR="00C11D9F">
        <w:t xml:space="preserve">standard departmental and </w:t>
      </w:r>
      <w:r w:rsidR="00A6098A">
        <w:t>Australian</w:t>
      </w:r>
      <w:r w:rsidR="00C11D9F">
        <w:t xml:space="preserve"> </w:t>
      </w:r>
      <w:r w:rsidR="00A6098A">
        <w:t>G</w:t>
      </w:r>
      <w:r w:rsidR="00C11D9F">
        <w:t>overnment practice.</w:t>
      </w:r>
      <w:r w:rsidR="008F6628">
        <w:t xml:space="preserve"> </w:t>
      </w:r>
      <w:r w:rsidR="00CD4153">
        <w:t>The department</w:t>
      </w:r>
      <w:r w:rsidRPr="00B8611D">
        <w:t xml:space="preserve"> generally consults and engages well with livestock export stakeholders.</w:t>
      </w:r>
    </w:p>
    <w:p w14:paraId="66BC02FA" w14:textId="1EF63EE5" w:rsidR="006D09CE" w:rsidRDefault="006D09CE" w:rsidP="006D09CE">
      <w:r>
        <w:t>The most common concerns raised by stakeholders in relation to formal consultation processes were:</w:t>
      </w:r>
    </w:p>
    <w:p w14:paraId="336AD704" w14:textId="0C98E954" w:rsidR="00C346A0" w:rsidRDefault="22742BAA" w:rsidP="00C346A0">
      <w:pPr>
        <w:pStyle w:val="Quote"/>
        <w:numPr>
          <w:ilvl w:val="0"/>
          <w:numId w:val="31"/>
        </w:numPr>
      </w:pPr>
      <w:r>
        <w:t>Timing</w:t>
      </w:r>
      <w:r w:rsidR="24F96171">
        <w:t xml:space="preserve"> </w:t>
      </w:r>
      <w:r w:rsidR="3415A0CD">
        <w:t>–</w:t>
      </w:r>
      <w:r w:rsidR="5DF7736C">
        <w:t xml:space="preserve"> </w:t>
      </w:r>
      <w:r>
        <w:t xml:space="preserve">consultation processes </w:t>
      </w:r>
      <w:r w:rsidR="5D8E20EF">
        <w:t xml:space="preserve">are </w:t>
      </w:r>
      <w:r>
        <w:t xml:space="preserve">often scheduled for busy periods including the Christmas/New Year period. </w:t>
      </w:r>
      <w:r w:rsidR="5D8E20EF">
        <w:t>Where this occurred</w:t>
      </w:r>
      <w:r w:rsidR="4D58FC56">
        <w:t>,</w:t>
      </w:r>
      <w:r w:rsidR="5D8E20EF">
        <w:t xml:space="preserve"> it </w:t>
      </w:r>
      <w:r>
        <w:t>made it difficult</w:t>
      </w:r>
      <w:r w:rsidR="5D8E20EF">
        <w:t xml:space="preserve"> for stakeholders to make submissions or</w:t>
      </w:r>
      <w:r>
        <w:t xml:space="preserve"> to develop well researched submissions.</w:t>
      </w:r>
    </w:p>
    <w:p w14:paraId="094BB2C9" w14:textId="62B0CB0F" w:rsidR="00C346A0" w:rsidRPr="009A6A3C" w:rsidRDefault="00C346A0" w:rsidP="008C75F0">
      <w:pPr>
        <w:pStyle w:val="Quote"/>
      </w:pPr>
      <w:r w:rsidRPr="009A6A3C">
        <w:t>Industry is often provided with inadequate timelines to respond to Department consultations on significant issues. They are often short which constrains the ability of industry to consult and respond to effectively (ALEC 2022).</w:t>
      </w:r>
    </w:p>
    <w:p w14:paraId="38168F14" w14:textId="689E1C0A" w:rsidR="00C346A0" w:rsidRDefault="4C529C2E" w:rsidP="00C346A0">
      <w:pPr>
        <w:pStyle w:val="Quote"/>
      </w:pPr>
      <w:r>
        <w:t>VALE has observed that the most critical live export reviews with public submissions invited routinely have short time periods for submission (</w:t>
      </w:r>
      <w:proofErr w:type="spellStart"/>
      <w:r>
        <w:t>eg</w:t>
      </w:r>
      <w:r w:rsidR="2C08CEF6">
        <w:t>.</w:t>
      </w:r>
      <w:proofErr w:type="spellEnd"/>
      <w:r>
        <w:t xml:space="preserve"> ASEL Update Review, Sept 20 to Oct 18) and are often over the Christmas/New Year period (VALE 2022).</w:t>
      </w:r>
    </w:p>
    <w:p w14:paraId="6A02DFF4" w14:textId="54B3A7C7" w:rsidR="006D09CE" w:rsidRDefault="006D09CE" w:rsidP="0032761D">
      <w:pPr>
        <w:pStyle w:val="ListBullet"/>
      </w:pPr>
      <w:r>
        <w:lastRenderedPageBreak/>
        <w:t>Quantity</w:t>
      </w:r>
      <w:r w:rsidR="002B6654">
        <w:t xml:space="preserve"> </w:t>
      </w:r>
      <w:r w:rsidR="000331A2">
        <w:t>–</w:t>
      </w:r>
      <w:r>
        <w:t xml:space="preserve"> with multiple</w:t>
      </w:r>
      <w:r w:rsidR="00EC4494">
        <w:t xml:space="preserve"> and sometimes overlapping</w:t>
      </w:r>
      <w:r>
        <w:t xml:space="preserve"> consultations overwhelming the capacity of some stakeholders to respond or respond in as considered a manner as they would like.</w:t>
      </w:r>
    </w:p>
    <w:p w14:paraId="0B56708E" w14:textId="0EAC7FE9" w:rsidR="006D09CE" w:rsidRDefault="00DE2023" w:rsidP="0032761D">
      <w:pPr>
        <w:pStyle w:val="ListBullet"/>
      </w:pPr>
      <w:r>
        <w:t>Departmental r</w:t>
      </w:r>
      <w:r w:rsidR="006D09CE">
        <w:t>esponse</w:t>
      </w:r>
      <w:r w:rsidR="002B6654">
        <w:t xml:space="preserve"> </w:t>
      </w:r>
      <w:r w:rsidR="000331A2">
        <w:t>–</w:t>
      </w:r>
      <w:r w:rsidR="006D09CE">
        <w:t xml:space="preserve"> concerns that timeframes for stakeholders to respond were not commensurate with the time it would take the department to conclude the matter being consulted on.</w:t>
      </w:r>
    </w:p>
    <w:p w14:paraId="0F199D03" w14:textId="175E4E9A" w:rsidR="006D09CE" w:rsidRDefault="006D09CE" w:rsidP="006D09CE">
      <w:r>
        <w:t>The inspector-general agrees that in some cases the timing and duration of submission</w:t>
      </w:r>
      <w:r w:rsidR="00657278">
        <w:t xml:space="preserve"> processes</w:t>
      </w:r>
      <w:r>
        <w:t xml:space="preserve"> ha</w:t>
      </w:r>
      <w:r w:rsidR="00C77A95">
        <w:t>ve</w:t>
      </w:r>
      <w:r>
        <w:t xml:space="preserve"> been inconvenient. This may lead to submissions being rushed without thorough consideration</w:t>
      </w:r>
      <w:r w:rsidR="00030D3E">
        <w:t>, or for some stakeholders to be unable to make a submission</w:t>
      </w:r>
      <w:r>
        <w:t>. The department does provide industry with a timetable of anticipated consultation</w:t>
      </w:r>
      <w:r w:rsidR="00E65D02">
        <w:t>s</w:t>
      </w:r>
      <w:r>
        <w:t xml:space="preserve"> and stakeholder meetings every 6 months.</w:t>
      </w:r>
      <w:r w:rsidR="00030D3E">
        <w:t xml:space="preserve"> However, this may not be widely available across stakeholders, or within stakeholder orga</w:t>
      </w:r>
      <w:r w:rsidR="00B102DC">
        <w:t>ni</w:t>
      </w:r>
      <w:r w:rsidR="00030D3E">
        <w:t>sations.</w:t>
      </w:r>
      <w:r>
        <w:t xml:space="preserve"> The inspector-general suggests the department publish its indicative timetable of consultation activities on its website every</w:t>
      </w:r>
      <w:r w:rsidR="00F16057">
        <w:t xml:space="preserve"> </w:t>
      </w:r>
      <w:r>
        <w:t>6 months for all stakeholders. Additionally, if busy or holiday periods cannot be avoided</w:t>
      </w:r>
      <w:r w:rsidR="00E65D02">
        <w:t>,</w:t>
      </w:r>
      <w:r>
        <w:t xml:space="preserve"> providing additional time for submissions </w:t>
      </w:r>
      <w:r w:rsidR="00030D3E">
        <w:t>is</w:t>
      </w:r>
      <w:r>
        <w:t xml:space="preserve"> desirable</w:t>
      </w:r>
      <w:r w:rsidR="00030D3E">
        <w:t xml:space="preserve"> and should be factored in upfront</w:t>
      </w:r>
      <w:r>
        <w:t>.</w:t>
      </w:r>
    </w:p>
    <w:p w14:paraId="64A9472B" w14:textId="3EF5E0C9" w:rsidR="006D09CE" w:rsidRDefault="006D09CE" w:rsidP="006D09CE">
      <w:r>
        <w:t xml:space="preserve">Industry stakeholders have suggested </w:t>
      </w:r>
      <w:r w:rsidRPr="00D965C5">
        <w:t xml:space="preserve">that in some circumstances </w:t>
      </w:r>
      <w:r>
        <w:t>they</w:t>
      </w:r>
      <w:r w:rsidRPr="00D965C5">
        <w:t xml:space="preserve"> may prefer to attend a </w:t>
      </w:r>
      <w:r w:rsidR="00F32642">
        <w:br/>
      </w:r>
      <w:r w:rsidRPr="00D965C5">
        <w:t>1</w:t>
      </w:r>
      <w:r w:rsidR="00F32642">
        <w:t>–</w:t>
      </w:r>
      <w:proofErr w:type="gramStart"/>
      <w:r w:rsidRPr="00D965C5">
        <w:t>2 hour</w:t>
      </w:r>
      <w:proofErr w:type="gramEnd"/>
      <w:r w:rsidRPr="00D965C5">
        <w:t xml:space="preserve"> workshop to </w:t>
      </w:r>
      <w:r>
        <w:t>raise issues, rather than provide a written submission. The inspector-general consider</w:t>
      </w:r>
      <w:r w:rsidR="007304FF">
        <w:t>s</w:t>
      </w:r>
      <w:r>
        <w:t xml:space="preserve"> that</w:t>
      </w:r>
      <w:r w:rsidR="00030D3E">
        <w:t xml:space="preserve"> more informal approaches to consultation are important, should be considered across all stakeholders as appropriate, and that</w:t>
      </w:r>
      <w:r>
        <w:t xml:space="preserve"> issues and matters raised in forums of this nature should be</w:t>
      </w:r>
      <w:r w:rsidR="00030D3E">
        <w:t xml:space="preserve"> considered</w:t>
      </w:r>
      <w:r>
        <w:t xml:space="preserve"> as validly as a written submission.</w:t>
      </w:r>
    </w:p>
    <w:p w14:paraId="654A21F2" w14:textId="6F170037" w:rsidR="000B6981" w:rsidRDefault="000B6981" w:rsidP="000B6981">
      <w:pPr>
        <w:pStyle w:val="BoxHeading"/>
      </w:pPr>
      <w:r>
        <w:t>Recommendation 1</w:t>
      </w:r>
    </w:p>
    <w:p w14:paraId="3150DFA6" w14:textId="77777777" w:rsidR="003A5423" w:rsidRPr="001C013C" w:rsidRDefault="003A5423" w:rsidP="003A5423">
      <w:pPr>
        <w:pStyle w:val="BoxText"/>
        <w:rPr>
          <w:lang w:eastAsia="ja-JP"/>
        </w:rPr>
      </w:pPr>
      <w:r w:rsidRPr="001C013C">
        <w:rPr>
          <w:lang w:eastAsia="ja-JP"/>
        </w:rPr>
        <w:t xml:space="preserve">The department should increase meetings </w:t>
      </w:r>
      <w:r>
        <w:rPr>
          <w:lang w:eastAsia="ja-JP"/>
        </w:rPr>
        <w:t xml:space="preserve">or workshops </w:t>
      </w:r>
      <w:r w:rsidRPr="001C013C">
        <w:rPr>
          <w:lang w:eastAsia="ja-JP"/>
        </w:rPr>
        <w:t>with stakeholders to ensure that those who are time constrained from providing formal submissions can be heard. This should target stakeholder segments to ensure that regional differences are identified, and so that stakeholders with widely disparate positions are heard separately.</w:t>
      </w:r>
    </w:p>
    <w:p w14:paraId="7566C95E" w14:textId="265A175B" w:rsidR="008C75F0" w:rsidRDefault="008C75F0" w:rsidP="008C75F0">
      <w:r>
        <w:t>While seeking to ensure that the outcome from a consultation process is timely it is inevitable that decision making, including considering new information from the consultation, can delay an outcome. Keeping stakeholders updated on progress is important to reduce perceptions that</w:t>
      </w:r>
      <w:r w:rsidR="00C4447A">
        <w:t>, while</w:t>
      </w:r>
      <w:r>
        <w:t xml:space="preserve"> the consultation</w:t>
      </w:r>
      <w:r w:rsidR="00C4447A">
        <w:t xml:space="preserve"> period</w:t>
      </w:r>
      <w:r>
        <w:t xml:space="preserve"> was timebound, </w:t>
      </w:r>
      <w:r w:rsidR="00C4447A">
        <w:t>there is</w:t>
      </w:r>
      <w:r>
        <w:t xml:space="preserve"> no explanation of delay in the </w:t>
      </w:r>
      <w:r w:rsidR="00C4447A">
        <w:t>subsequent</w:t>
      </w:r>
      <w:r>
        <w:t xml:space="preserve"> decision.</w:t>
      </w:r>
    </w:p>
    <w:p w14:paraId="37436E35" w14:textId="62296B65" w:rsidR="00670E58" w:rsidRDefault="00670E58" w:rsidP="00670E58">
      <w:r>
        <w:t>Additionally, the department could improve the way in which it reports back to stakeholders on how the issues they have raised, and information they have provided, has been considered. Stakeholders put considerable effort into providing input and increased transparency in how this is ‘heard’ is important.</w:t>
      </w:r>
    </w:p>
    <w:p w14:paraId="30E7BDA6" w14:textId="0EBBEE9E" w:rsidR="00670E58" w:rsidRDefault="00670E58" w:rsidP="00670E58">
      <w:r>
        <w:t xml:space="preserve">In land use planning regimes this feedback is often formalised as a ‘response to </w:t>
      </w:r>
      <w:proofErr w:type="gramStart"/>
      <w:r>
        <w:t>submissions’</w:t>
      </w:r>
      <w:proofErr w:type="gramEnd"/>
      <w:r>
        <w:t xml:space="preserve">. </w:t>
      </w:r>
      <w:r w:rsidR="008C75F0">
        <w:t>Generally,</w:t>
      </w:r>
      <w:r>
        <w:t xml:space="preserve"> this involves aggregating and listing matters that are raised and providing a short summary of how it was considered in the </w:t>
      </w:r>
      <w:proofErr w:type="gramStart"/>
      <w:r>
        <w:t>final outcome</w:t>
      </w:r>
      <w:proofErr w:type="gramEnd"/>
      <w:r>
        <w:t>. Importantly, this should include where the department has not agreed, or has a different take, on a matter that has been raised and the rationale for this.</w:t>
      </w:r>
    </w:p>
    <w:p w14:paraId="6C7DA581" w14:textId="75867A68" w:rsidR="00670E58" w:rsidRDefault="00670E58" w:rsidP="007131FF">
      <w:pPr>
        <w:pStyle w:val="BoxHeading"/>
        <w:keepNext/>
      </w:pPr>
      <w:r>
        <w:lastRenderedPageBreak/>
        <w:t>Recommendation 2</w:t>
      </w:r>
    </w:p>
    <w:p w14:paraId="6FBA86CB" w14:textId="77777777" w:rsidR="00F123D1" w:rsidRPr="001C013C" w:rsidRDefault="00F123D1" w:rsidP="00F123D1">
      <w:pPr>
        <w:pStyle w:val="BoxText"/>
      </w:pPr>
      <w:r w:rsidRPr="001C013C">
        <w:t>When the department undertakes a formal consultation process the subsequent decision should include a ‘response to submissions’ to inform stakeholders who made submissions of how their concerns were considered.</w:t>
      </w:r>
    </w:p>
    <w:p w14:paraId="45A7B38F" w14:textId="4E9BC285" w:rsidR="0023672E" w:rsidRDefault="00E65C59" w:rsidP="00C9301A">
      <w:r>
        <w:t>The department is involved in constructive collaboration with the livestock export industry, including through work programs with LiveCorp and with industry roundtable approaches to improving regulatory practice. Th</w:t>
      </w:r>
      <w:r w:rsidR="009B2EB9">
        <w:t xml:space="preserve">e inspector-general considers that this </w:t>
      </w:r>
      <w:r>
        <w:t>is important and should continue to be a valued approach by the department.</w:t>
      </w:r>
      <w:r w:rsidR="007D01E9">
        <w:t xml:space="preserve"> </w:t>
      </w:r>
      <w:r w:rsidR="009B2EB9">
        <w:t xml:space="preserve">The inspector-general also reiterates, as discussed in the previous review </w:t>
      </w:r>
      <w:r w:rsidR="009B2EB9" w:rsidRPr="00C81250">
        <w:rPr>
          <w:rStyle w:val="Emphasis"/>
        </w:rPr>
        <w:t>Monitoring and reporting during livestock export voyages</w:t>
      </w:r>
      <w:r w:rsidR="009B2EB9">
        <w:t>, the importance of AAVs and stockpersons in both consultation processes and in collaborative opportunities.</w:t>
      </w:r>
    </w:p>
    <w:p w14:paraId="75A02C6D" w14:textId="13804DC3" w:rsidR="005B3EF2" w:rsidRDefault="0023672E" w:rsidP="00C9301A">
      <w:r w:rsidRPr="0023672E">
        <w:t xml:space="preserve">The inspector-general has heard that engagement with animal welfare organisations has </w:t>
      </w:r>
      <w:r w:rsidR="00D84C13">
        <w:t xml:space="preserve">continued to improve, particularly </w:t>
      </w:r>
      <w:r w:rsidRPr="0023672E">
        <w:t>in the past year.</w:t>
      </w:r>
      <w:r w:rsidR="00EA5833">
        <w:t xml:space="preserve"> </w:t>
      </w:r>
      <w:r w:rsidR="007D01E9">
        <w:t>The inspector-general has also heard important information and analysis from animal welfare organisations that may be valuable contributions to the departments work.</w:t>
      </w:r>
      <w:r w:rsidR="00DE3CAC">
        <w:t xml:space="preserve"> The Moss </w:t>
      </w:r>
      <w:r w:rsidR="0086541C">
        <w:t>r</w:t>
      </w:r>
      <w:r w:rsidR="00DE3CAC">
        <w:t xml:space="preserve">eview provided </w:t>
      </w:r>
      <w:r w:rsidR="00F123D1">
        <w:t>2</w:t>
      </w:r>
      <w:r w:rsidR="00DE3CAC">
        <w:t xml:space="preserve"> recommendations of relevance in this regard</w:t>
      </w:r>
      <w:r w:rsidR="005B3EF2">
        <w:t>:</w:t>
      </w:r>
    </w:p>
    <w:p w14:paraId="03B90571" w14:textId="415FBBD8" w:rsidR="007855C6" w:rsidRDefault="007855C6" w:rsidP="00C76B3A">
      <w:pPr>
        <w:pStyle w:val="Quote"/>
      </w:pPr>
      <w:r w:rsidRPr="005B3EF2">
        <w:rPr>
          <w:rStyle w:val="QuoteChar"/>
        </w:rPr>
        <w:t>Recommendation 8: That the department adopt a regulatory approach that recognises the contribution of animal welfare organisations in identifying non-compliance with the Australian Standards for the Export of Livestock, the Exporter Supply Chain Assurance System and animal welfare standards</w:t>
      </w:r>
      <w:r>
        <w:rPr>
          <w:rStyle w:val="QuoteChar"/>
        </w:rPr>
        <w:t xml:space="preserve"> (Moss 2018)</w:t>
      </w:r>
      <w:r w:rsidRPr="005B3EF2">
        <w:rPr>
          <w:rStyle w:val="QuoteChar"/>
        </w:rPr>
        <w:t>.</w:t>
      </w:r>
    </w:p>
    <w:p w14:paraId="0DDCAF66" w14:textId="1E52FA0F" w:rsidR="005B3EF2" w:rsidRDefault="00DE3CAC" w:rsidP="005B3EF2">
      <w:pPr>
        <w:pStyle w:val="Quote"/>
      </w:pPr>
      <w:r>
        <w:t xml:space="preserve">Recommendation 30: </w:t>
      </w:r>
      <w:r w:rsidRPr="005B3EF2">
        <w:t>That the department establish appropriate forums to consult with stakeholders and assess community expectations</w:t>
      </w:r>
      <w:r w:rsidR="00EA5833">
        <w:t xml:space="preserve"> (Moss 2018)</w:t>
      </w:r>
      <w:r w:rsidRPr="005B3EF2">
        <w:t>.</w:t>
      </w:r>
    </w:p>
    <w:p w14:paraId="2AAD9FBC" w14:textId="53771F9E" w:rsidR="00EA5833" w:rsidRDefault="00EA5833" w:rsidP="00EA5833">
      <w:r>
        <w:t xml:space="preserve">The inspector-general notes that the Livestock Export Animal Welfare Advisory Group (LEAWAG) was formed to address the Moss </w:t>
      </w:r>
      <w:r w:rsidR="00122BF7">
        <w:t>r</w:t>
      </w:r>
      <w:r>
        <w:t xml:space="preserve">eview recommendation 30. However, the inspector-general </w:t>
      </w:r>
      <w:r w:rsidR="00D84C13">
        <w:t>considers</w:t>
      </w:r>
      <w:r>
        <w:t xml:space="preserve"> that LEAWAG </w:t>
      </w:r>
      <w:r w:rsidR="00D84C13">
        <w:t>is</w:t>
      </w:r>
      <w:r>
        <w:t xml:space="preserve"> largely a one-directional information flow from the department rather than an advisory group and s</w:t>
      </w:r>
      <w:r w:rsidRPr="00EA5833">
        <w:t xml:space="preserve">maller, more focussed forums would be beneficial </w:t>
      </w:r>
      <w:r>
        <w:t>(IGLAE 2020</w:t>
      </w:r>
      <w:r w:rsidR="00902613">
        <w:t>a</w:t>
      </w:r>
      <w:r>
        <w:t>).</w:t>
      </w:r>
    </w:p>
    <w:p w14:paraId="4778E118" w14:textId="4C4F639F" w:rsidR="00C346A0" w:rsidRDefault="007D01E9" w:rsidP="00EC07C0">
      <w:r>
        <w:t>While there are opportunities for this information to be provided to the department through formal consultation</w:t>
      </w:r>
      <w:r w:rsidR="00DE3CAC">
        <w:t xml:space="preserve"> and reporting allegations of non-compliance</w:t>
      </w:r>
      <w:r>
        <w:t xml:space="preserve"> processes</w:t>
      </w:r>
      <w:r w:rsidR="00113629">
        <w:t>,</w:t>
      </w:r>
      <w:r>
        <w:t xml:space="preserve"> there may be further opportunities for the department to collaborate with </w:t>
      </w:r>
      <w:r w:rsidR="00D84C13">
        <w:t>professional bodies (for example</w:t>
      </w:r>
      <w:r w:rsidR="00162A8E">
        <w:t>,</w:t>
      </w:r>
      <w:r w:rsidR="00D84C13">
        <w:t xml:space="preserve"> the Australian Veterinary Association) and </w:t>
      </w:r>
      <w:r>
        <w:t>animal welfare organisations, particularly where the</w:t>
      </w:r>
      <w:r w:rsidR="00D84C13">
        <w:t xml:space="preserve">y have strong </w:t>
      </w:r>
      <w:r>
        <w:t xml:space="preserve">technical </w:t>
      </w:r>
      <w:r w:rsidR="00DE3CAC">
        <w:t>skills</w:t>
      </w:r>
      <w:r w:rsidR="00D84C13">
        <w:t xml:space="preserve"> and can provide a useful perspective on often contestable areas of evidence</w:t>
      </w:r>
      <w:r w:rsidR="00DE3CAC">
        <w:t>.</w:t>
      </w:r>
    </w:p>
    <w:p w14:paraId="09568537" w14:textId="2EE0FCB0" w:rsidR="00764189" w:rsidRDefault="00C346A0" w:rsidP="00EC07C0">
      <w:r>
        <w:t xml:space="preserve">In relation to communication with individual regulated parties the inspector-general has heard that, in </w:t>
      </w:r>
      <w:proofErr w:type="gramStart"/>
      <w:r>
        <w:t>a number of</w:t>
      </w:r>
      <w:proofErr w:type="gramEnd"/>
      <w:r>
        <w:t xml:space="preserve"> instances, the messages from the department have been a surprise, not well understood, or delivered in a manner</w:t>
      </w:r>
      <w:r w:rsidR="00E45742">
        <w:t xml:space="preserve"> that the recipient considered to be abrasive</w:t>
      </w:r>
      <w:r>
        <w:t>. Where the department has concerns about the performance of a regulated party</w:t>
      </w:r>
      <w:r w:rsidR="00195446">
        <w:t>,</w:t>
      </w:r>
      <w:r>
        <w:t xml:space="preserve"> </w:t>
      </w:r>
      <w:r w:rsidR="00F41180">
        <w:t>good communication is critical to ensuring that the performance issue is effectively addressed.</w:t>
      </w:r>
      <w:r w:rsidR="00764189">
        <w:t xml:space="preserve"> Ultimately</w:t>
      </w:r>
      <w:r w:rsidR="00195446">
        <w:t>,</w:t>
      </w:r>
      <w:r w:rsidR="00764189">
        <w:t xml:space="preserve"> good regulatory practice is aimed at achieving desired behaviours from regulated parties and addressing poor behaviours.</w:t>
      </w:r>
    </w:p>
    <w:p w14:paraId="5BFC81AB" w14:textId="46C3FE8A" w:rsidR="008526BE" w:rsidRDefault="00D60819" w:rsidP="00EC07C0">
      <w:r>
        <w:lastRenderedPageBreak/>
        <w:t>Regulated parties generally want to comply with requirements so c</w:t>
      </w:r>
      <w:r w:rsidR="00F41180">
        <w:t>ommunication that is ambiguous or unclear can delay progress on a resolution.</w:t>
      </w:r>
      <w:r>
        <w:t xml:space="preserve"> Clarity on what the problem is and what the department expects to be done to solve the problem is critical. </w:t>
      </w:r>
      <w:r w:rsidR="00F41180">
        <w:t xml:space="preserve">It is also important to ensure that the tone of the communication does not detract from the substance of the issue. </w:t>
      </w:r>
      <w:r w:rsidR="00A734F5">
        <w:br/>
      </w:r>
      <w:r w:rsidR="00F41180">
        <w:t>For more significant issues</w:t>
      </w:r>
      <w:r w:rsidR="00CC2ECC">
        <w:t>,</w:t>
      </w:r>
      <w:r w:rsidR="00F41180">
        <w:t xml:space="preserve"> the inspector-general considers that formal written advice in emails or letters should follow on from detailed telephone or face to face discussions</w:t>
      </w:r>
      <w:r w:rsidR="00AF2902">
        <w:t>. This would</w:t>
      </w:r>
      <w:r w:rsidR="00F41180">
        <w:t xml:space="preserve"> ensure the issue, the change the department is seeking, and any regulatory response the department is taking, are clearly explained.</w:t>
      </w:r>
      <w:r w:rsidR="00764189">
        <w:t xml:space="preserve"> Follow up meetings or telephone discussions may also be required.</w:t>
      </w:r>
    </w:p>
    <w:p w14:paraId="33C8421F" w14:textId="05AA90C7" w:rsidR="00376356" w:rsidRDefault="002744A6" w:rsidP="00891CBD">
      <w:r>
        <w:t xml:space="preserve">The inspector-general has observed, on </w:t>
      </w:r>
      <w:proofErr w:type="gramStart"/>
      <w:r>
        <w:t>a number of</w:t>
      </w:r>
      <w:proofErr w:type="gramEnd"/>
      <w:r>
        <w:t xml:space="preserve"> occasions, the industry perception of the department as a facilitator of the export livestock industry. The department continues to struggle to clearly communicate that </w:t>
      </w:r>
      <w:r w:rsidR="00F53D42">
        <w:t xml:space="preserve">while it </w:t>
      </w:r>
      <w:r>
        <w:t>has an overarching role in facilitating the livestock export trade</w:t>
      </w:r>
      <w:r w:rsidR="00F53D42">
        <w:t>, it also regulates participants in that trade</w:t>
      </w:r>
      <w:r>
        <w:t xml:space="preserve"> </w:t>
      </w:r>
      <w:r w:rsidR="00F53D42">
        <w:t xml:space="preserve">and must ensure compliance. The Moss </w:t>
      </w:r>
      <w:r w:rsidR="00177061">
        <w:t>r</w:t>
      </w:r>
      <w:r w:rsidR="00F53D42">
        <w:t xml:space="preserve">eview discussed this issue in some detail. The department needs to ensure that its external communication to stakeholders </w:t>
      </w:r>
      <w:r w:rsidR="0038162D">
        <w:t>is</w:t>
      </w:r>
      <w:r w:rsidR="00F53D42">
        <w:t xml:space="preserve"> clear and consistent</w:t>
      </w:r>
      <w:r w:rsidR="00E45742">
        <w:t xml:space="preserve"> in this regard</w:t>
      </w:r>
      <w:r w:rsidR="00F53D42">
        <w:t xml:space="preserve">. It is also important that internal communications to regulatory staff are unequivocal </w:t>
      </w:r>
      <w:r w:rsidR="00E45742">
        <w:t>on the regulatory role</w:t>
      </w:r>
      <w:r w:rsidR="00F53D42">
        <w:t>.</w:t>
      </w:r>
    </w:p>
    <w:p w14:paraId="7E16A9AB" w14:textId="11CF4EED" w:rsidR="00931545" w:rsidRDefault="00931545">
      <w:pPr>
        <w:pStyle w:val="Heading2"/>
      </w:pPr>
      <w:bookmarkStart w:id="25" w:name="_Complaints_and_enquiries"/>
      <w:bookmarkStart w:id="26" w:name="_Toc131596832"/>
      <w:bookmarkEnd w:id="25"/>
      <w:r>
        <w:lastRenderedPageBreak/>
        <w:t>Reporting and transparency</w:t>
      </w:r>
      <w:bookmarkEnd w:id="26"/>
    </w:p>
    <w:p w14:paraId="30FE8C54" w14:textId="4C0CFB45" w:rsidR="00931545" w:rsidRDefault="1C6DC76D" w:rsidP="00931545">
      <w:r>
        <w:t xml:space="preserve">The department provides reports that are publicly available on </w:t>
      </w:r>
      <w:r w:rsidR="102996EB">
        <w:t>its</w:t>
      </w:r>
      <w:r>
        <w:t xml:space="preserve"> website. The reports cover areas such as general data on livestock exports, ESCAS performance reports, independent observer (IO) summary reports</w:t>
      </w:r>
      <w:r w:rsidR="3137EB72">
        <w:t xml:space="preserve">, </w:t>
      </w:r>
      <w:r w:rsidR="000D7A25">
        <w:t xml:space="preserve">notifiable </w:t>
      </w:r>
      <w:r w:rsidR="3137EB72">
        <w:t>mortality reports</w:t>
      </w:r>
      <w:r>
        <w:t xml:space="preserve"> and regulatory decisions. The department is also required to report to Parliament on livestock exports by sea.</w:t>
      </w:r>
    </w:p>
    <w:p w14:paraId="305A4E74" w14:textId="60660365" w:rsidR="00931545" w:rsidRDefault="1C6DC76D" w:rsidP="00931545">
      <w:r>
        <w:t xml:space="preserve">The department provides a useful </w:t>
      </w:r>
      <w:hyperlink r:id="rId25">
        <w:r w:rsidR="2D7C4E0B" w:rsidRPr="3CE7DD6E">
          <w:rPr>
            <w:rStyle w:val="Hyperlink"/>
          </w:rPr>
          <w:t>all</w:t>
        </w:r>
        <w:r w:rsidRPr="3CE7DD6E">
          <w:rPr>
            <w:rStyle w:val="Hyperlink"/>
          </w:rPr>
          <w:t xml:space="preserve"> livestock exports</w:t>
        </w:r>
      </w:hyperlink>
      <w:r w:rsidR="487DB5D9" w:rsidRPr="3CE7DD6E">
        <w:rPr>
          <w:rStyle w:val="Hyperlink"/>
        </w:rPr>
        <w:t xml:space="preserve"> report</w:t>
      </w:r>
      <w:r>
        <w:t xml:space="preserve">. The downloadable spreadsheet includes exports by air and sea. The report is compiled from information </w:t>
      </w:r>
      <w:r w:rsidR="487DB5D9">
        <w:t>derived from</w:t>
      </w:r>
      <w:r>
        <w:t xml:space="preserve"> export permit</w:t>
      </w:r>
      <w:r w:rsidR="3137EB72">
        <w:t>s</w:t>
      </w:r>
      <w:r>
        <w:t xml:space="preserve"> and government certificate</w:t>
      </w:r>
      <w:r w:rsidR="3137EB72">
        <w:t>s</w:t>
      </w:r>
      <w:r>
        <w:t xml:space="preserve"> issued to exporters at the time of departure. The reports are updated monthly and include financial or calendar years. Report data includes:</w:t>
      </w:r>
    </w:p>
    <w:p w14:paraId="13808D1D" w14:textId="3D0C8C40" w:rsidR="00931545" w:rsidRDefault="00931545" w:rsidP="00931545">
      <w:pPr>
        <w:pStyle w:val="ListBullet"/>
      </w:pPr>
      <w:r>
        <w:t xml:space="preserve">mode of travel </w:t>
      </w:r>
      <w:r w:rsidR="0037444D">
        <w:t>–</w:t>
      </w:r>
      <w:r>
        <w:t xml:space="preserve"> air or sea</w:t>
      </w:r>
    </w:p>
    <w:p w14:paraId="45B24443" w14:textId="77777777" w:rsidR="00931545" w:rsidRDefault="00931545" w:rsidP="00931545">
      <w:pPr>
        <w:pStyle w:val="ListBullet"/>
      </w:pPr>
      <w:r>
        <w:t>month of departure</w:t>
      </w:r>
    </w:p>
    <w:p w14:paraId="62F1970E" w14:textId="77777777" w:rsidR="00931545" w:rsidRDefault="00931545" w:rsidP="00931545">
      <w:pPr>
        <w:pStyle w:val="ListBullet"/>
      </w:pPr>
      <w:r>
        <w:t>state and load port</w:t>
      </w:r>
    </w:p>
    <w:p w14:paraId="693CD052" w14:textId="77777777" w:rsidR="00931545" w:rsidRDefault="00931545" w:rsidP="00931545">
      <w:pPr>
        <w:pStyle w:val="ListBullet"/>
      </w:pPr>
      <w:r>
        <w:t>species</w:t>
      </w:r>
    </w:p>
    <w:p w14:paraId="5D10CAA1" w14:textId="6F0AA7D1" w:rsidR="00931545" w:rsidRDefault="00931545" w:rsidP="00931545">
      <w:pPr>
        <w:pStyle w:val="ListBullet"/>
      </w:pPr>
      <w:r>
        <w:t xml:space="preserve">end use </w:t>
      </w:r>
      <w:r w:rsidR="0037444D">
        <w:t>–</w:t>
      </w:r>
      <w:r>
        <w:t xml:space="preserve"> breeder, feeder, productive or slaughter</w:t>
      </w:r>
    </w:p>
    <w:p w14:paraId="683A7174" w14:textId="77777777" w:rsidR="00931545" w:rsidRDefault="00931545" w:rsidP="00931545">
      <w:pPr>
        <w:pStyle w:val="ListBullet"/>
      </w:pPr>
      <w:r>
        <w:t>country of import</w:t>
      </w:r>
    </w:p>
    <w:p w14:paraId="251F6FB8" w14:textId="77777777" w:rsidR="00931545" w:rsidRDefault="00931545" w:rsidP="00931545">
      <w:pPr>
        <w:pStyle w:val="ListBullet"/>
      </w:pPr>
      <w:r>
        <w:t>quantity</w:t>
      </w:r>
    </w:p>
    <w:p w14:paraId="420DB3FF" w14:textId="77777777" w:rsidR="00931545" w:rsidRDefault="00931545" w:rsidP="00931545">
      <w:pPr>
        <w:pStyle w:val="ListBullet"/>
      </w:pPr>
      <w:r>
        <w:t>year – 2017 to 2022</w:t>
      </w:r>
    </w:p>
    <w:p w14:paraId="22BF026C" w14:textId="17F79444" w:rsidR="00931545" w:rsidRDefault="00931545" w:rsidP="00F82613">
      <w:pPr>
        <w:pStyle w:val="Heading3"/>
      </w:pPr>
      <w:bookmarkStart w:id="27" w:name="_Toc131596833"/>
      <w:r w:rsidRPr="00BB39FC">
        <w:t>Export</w:t>
      </w:r>
      <w:r w:rsidR="00A4259F">
        <w:t>er</w:t>
      </w:r>
      <w:r w:rsidRPr="00BB39FC">
        <w:t xml:space="preserve"> Supply Chain Assurance System</w:t>
      </w:r>
      <w:bookmarkEnd w:id="27"/>
    </w:p>
    <w:p w14:paraId="14CCB956" w14:textId="027520B7" w:rsidR="00931545" w:rsidRDefault="19FC3509" w:rsidP="00931545">
      <w:r>
        <w:t xml:space="preserve">The department investigates all alleged non-compliance under ESCAS. The department publishes a quarterly </w:t>
      </w:r>
      <w:hyperlink r:id="rId26" w:anchor="2019">
        <w:r w:rsidR="5AABC930" w:rsidRPr="4770B6D3">
          <w:rPr>
            <w:rStyle w:val="Hyperlink"/>
          </w:rPr>
          <w:t>ESCAS Regulatory Performance Report</w:t>
        </w:r>
      </w:hyperlink>
      <w:r>
        <w:t xml:space="preserve"> </w:t>
      </w:r>
      <w:r w:rsidR="2E83973C">
        <w:t>that includes completed</w:t>
      </w:r>
      <w:r>
        <w:t xml:space="preserve"> investigations. The department has published the </w:t>
      </w:r>
      <w:bookmarkStart w:id="28" w:name="_Hlk127958082"/>
      <w:r>
        <w:t xml:space="preserve">ESCAS Regulatory Performance Reports </w:t>
      </w:r>
      <w:bookmarkEnd w:id="28"/>
      <w:r>
        <w:t xml:space="preserve">in </w:t>
      </w:r>
      <w:r w:rsidR="5AABC930">
        <w:t>a range of</w:t>
      </w:r>
      <w:r>
        <w:t xml:space="preserve"> formats since 2012. They now include a summary table of all feeder and slaughter livestock exported during the report period and are </w:t>
      </w:r>
      <w:r w:rsidR="5AABC930">
        <w:t xml:space="preserve">intended to be </w:t>
      </w:r>
      <w:r>
        <w:t xml:space="preserve">published quarterly. However, there was a significant gap in reporting between the last 2 performance reports. </w:t>
      </w:r>
      <w:r w:rsidR="00931545">
        <w:br/>
      </w:r>
      <w:r>
        <w:t xml:space="preserve">The 1 </w:t>
      </w:r>
      <w:r w:rsidR="63075294">
        <w:t>April</w:t>
      </w:r>
      <w:r>
        <w:t xml:space="preserve"> 202</w:t>
      </w:r>
      <w:r w:rsidR="4D691D5C">
        <w:t>1</w:t>
      </w:r>
      <w:r>
        <w:t xml:space="preserve"> to 30 </w:t>
      </w:r>
      <w:r w:rsidR="23F98588">
        <w:t>June</w:t>
      </w:r>
      <w:r>
        <w:t xml:space="preserve"> 202</w:t>
      </w:r>
      <w:r w:rsidR="254B1530">
        <w:t>1</w:t>
      </w:r>
      <w:r>
        <w:t xml:space="preserve"> quarterly </w:t>
      </w:r>
      <w:r w:rsidR="6BEEA0AE">
        <w:t>p</w:t>
      </w:r>
      <w:r>
        <w:t xml:space="preserve">erformance </w:t>
      </w:r>
      <w:r w:rsidR="6BEEA0AE">
        <w:t>r</w:t>
      </w:r>
      <w:r>
        <w:t xml:space="preserve">eport was published in </w:t>
      </w:r>
      <w:r w:rsidR="106F5514">
        <w:t>August 2021</w:t>
      </w:r>
      <w:r>
        <w:t xml:space="preserve">. The department did not publish another report until December 2022. The latest report covers </w:t>
      </w:r>
      <w:r w:rsidR="00312F15">
        <w:br/>
      </w:r>
      <w:r w:rsidR="4259C52D">
        <w:t xml:space="preserve">1 July 2022 to 30 September 2022. The report covering </w:t>
      </w:r>
      <w:r w:rsidR="2A89A3C1">
        <w:t>the</w:t>
      </w:r>
      <w:r>
        <w:t xml:space="preserve"> year from 1 July 2021 to 30 June 2022</w:t>
      </w:r>
      <w:r w:rsidR="0FEBFE54">
        <w:t xml:space="preserve"> includes</w:t>
      </w:r>
      <w:r>
        <w:t xml:space="preserve"> 9 investigations dating back to August 2020. The report includes investigation commencement date</w:t>
      </w:r>
      <w:r w:rsidR="6BEEA0AE">
        <w:t>s</w:t>
      </w:r>
      <w:r>
        <w:t xml:space="preserve"> but not completion date</w:t>
      </w:r>
      <w:r w:rsidR="6BEEA0AE">
        <w:t>s</w:t>
      </w:r>
      <w:r>
        <w:t>.</w:t>
      </w:r>
    </w:p>
    <w:p w14:paraId="367C289D" w14:textId="5F439E31" w:rsidR="00931545" w:rsidRDefault="00931545" w:rsidP="00F82613">
      <w:pPr>
        <w:pStyle w:val="Heading3"/>
      </w:pPr>
      <w:bookmarkStart w:id="29" w:name="_Toc131596834"/>
      <w:r>
        <w:t xml:space="preserve">Independent </w:t>
      </w:r>
      <w:r w:rsidR="00F972AF">
        <w:t>o</w:t>
      </w:r>
      <w:r>
        <w:t>bserver reports</w:t>
      </w:r>
      <w:bookmarkEnd w:id="29"/>
    </w:p>
    <w:p w14:paraId="6CA95322" w14:textId="351CAA1B" w:rsidR="00F72139" w:rsidRDefault="19FC3509" w:rsidP="00931545">
      <w:r>
        <w:t xml:space="preserve">Independent </w:t>
      </w:r>
      <w:r w:rsidR="003631D2">
        <w:t>o</w:t>
      </w:r>
      <w:r>
        <w:t>bservers</w:t>
      </w:r>
      <w:r w:rsidR="00FE7D20">
        <w:t xml:space="preserve"> </w:t>
      </w:r>
      <w:r>
        <w:t xml:space="preserve">accompany some export consignments by sea. </w:t>
      </w:r>
      <w:r w:rsidR="1BC9D384">
        <w:t xml:space="preserve">The </w:t>
      </w:r>
      <w:r w:rsidR="27D52491">
        <w:t xml:space="preserve">publication of </w:t>
      </w:r>
      <w:r w:rsidR="1BC9D384">
        <w:t xml:space="preserve">IO reports began </w:t>
      </w:r>
      <w:r w:rsidR="3350D94E">
        <w:t xml:space="preserve">in 2018 </w:t>
      </w:r>
      <w:r w:rsidR="1BC9D384">
        <w:t>after the Awassi incident to provide public assurance.</w:t>
      </w:r>
    </w:p>
    <w:p w14:paraId="5CEBE575" w14:textId="0CAAABD0" w:rsidR="00F72139" w:rsidRDefault="00F72139" w:rsidP="00F72139">
      <w:pPr>
        <w:pStyle w:val="Quote"/>
      </w:pPr>
      <w:r w:rsidRPr="00F72139">
        <w:t>The Australian public must have trust in the integrity and regulation of the live export trade. Reports from Independent Observers are a huge part of building this trust</w:t>
      </w:r>
      <w:r>
        <w:t xml:space="preserve"> (Littleproud 2019)</w:t>
      </w:r>
      <w:r w:rsidRPr="00F72139">
        <w:t>.</w:t>
      </w:r>
    </w:p>
    <w:p w14:paraId="5978886B" w14:textId="359A7377" w:rsidR="00C054FB" w:rsidRDefault="000D56A9" w:rsidP="00931545">
      <w:bookmarkStart w:id="30" w:name="_Hlk130554362"/>
      <w:r>
        <w:t xml:space="preserve">The </w:t>
      </w:r>
      <w:r w:rsidR="67C70E07">
        <w:t xml:space="preserve">IOs </w:t>
      </w:r>
      <w:r w:rsidR="427DED1F">
        <w:t xml:space="preserve">collect and provide data </w:t>
      </w:r>
      <w:r w:rsidR="7DC0F355">
        <w:t xml:space="preserve">based on their observations from the voyage. The department reviews all </w:t>
      </w:r>
      <w:r w:rsidR="67C70E07">
        <w:t>IO</w:t>
      </w:r>
      <w:r w:rsidR="7DC0F355">
        <w:t xml:space="preserve"> </w:t>
      </w:r>
      <w:r w:rsidR="24350FC4">
        <w:t xml:space="preserve">data </w:t>
      </w:r>
      <w:r w:rsidR="7DC0F355">
        <w:t xml:space="preserve">to identify </w:t>
      </w:r>
      <w:r w:rsidR="1ECBA9B1">
        <w:t xml:space="preserve">and verify </w:t>
      </w:r>
      <w:r w:rsidR="7DC0F355">
        <w:t>non-compliance</w:t>
      </w:r>
      <w:r w:rsidR="67C70E07">
        <w:t xml:space="preserve"> or other issues</w:t>
      </w:r>
      <w:r w:rsidR="7DC0F355">
        <w:t xml:space="preserve">. The department </w:t>
      </w:r>
      <w:r w:rsidR="00C6374E">
        <w:t xml:space="preserve">then </w:t>
      </w:r>
      <w:r w:rsidR="00305B64">
        <w:t>provides all</w:t>
      </w:r>
      <w:r w:rsidR="000E650F">
        <w:t xml:space="preserve"> observational data (redacted) </w:t>
      </w:r>
      <w:r w:rsidR="7DC0F355">
        <w:t>to the exporter</w:t>
      </w:r>
      <w:r w:rsidR="00C6374E">
        <w:t xml:space="preserve">. At this time the department also </w:t>
      </w:r>
      <w:r w:rsidR="00C6374E">
        <w:lastRenderedPageBreak/>
        <w:t>advises the exporter of potential non-compliance and issues and required actions</w:t>
      </w:r>
      <w:r w:rsidR="7DC0F355">
        <w:t xml:space="preserve">. The department </w:t>
      </w:r>
      <w:r w:rsidR="2FB89D60">
        <w:t xml:space="preserve">also </w:t>
      </w:r>
      <w:r w:rsidR="7DC0F355">
        <w:t>publishes a summary of the</w:t>
      </w:r>
      <w:r w:rsidR="0938AA93">
        <w:t xml:space="preserve"> independent o</w:t>
      </w:r>
      <w:r w:rsidR="0938AA93" w:rsidRPr="000E650F">
        <w:rPr>
          <w:color w:val="2B579A"/>
        </w:rPr>
        <w:t>b</w:t>
      </w:r>
      <w:r w:rsidR="0938AA93">
        <w:t>server data</w:t>
      </w:r>
      <w:r w:rsidR="7DC0F355">
        <w:t xml:space="preserve"> </w:t>
      </w:r>
      <w:r w:rsidR="000E650F">
        <w:t>once investigations are finalised</w:t>
      </w:r>
      <w:r w:rsidR="69110ABD">
        <w:t xml:space="preserve"> on their website.</w:t>
      </w:r>
    </w:p>
    <w:bookmarkEnd w:id="30"/>
    <w:p w14:paraId="39116222" w14:textId="0316A12A" w:rsidR="003F6026" w:rsidRDefault="19FC3509" w:rsidP="00931545">
      <w:r>
        <w:t xml:space="preserve">No </w:t>
      </w:r>
      <w:r w:rsidR="2D99FE75">
        <w:t xml:space="preserve">IOs </w:t>
      </w:r>
      <w:r>
        <w:t xml:space="preserve">were deployed from June 2020 until May 2022 due to COVID-19 travel restrictions. </w:t>
      </w:r>
      <w:r w:rsidR="2D99FE75">
        <w:t xml:space="preserve">The IO program recommenced on </w:t>
      </w:r>
      <w:r w:rsidR="694D1628">
        <w:t>1 May 2022</w:t>
      </w:r>
      <w:r w:rsidR="2D99FE75">
        <w:t xml:space="preserve">. </w:t>
      </w:r>
      <w:r>
        <w:t>At the time of this review the department ha</w:t>
      </w:r>
      <w:r w:rsidR="7EA6A2E7">
        <w:t>d</w:t>
      </w:r>
      <w:r>
        <w:t xml:space="preserve"> published </w:t>
      </w:r>
      <w:r w:rsidR="7C11B08A">
        <w:t>6</w:t>
      </w:r>
      <w:r>
        <w:t xml:space="preserve"> reports</w:t>
      </w:r>
      <w:r w:rsidR="7C11B08A">
        <w:t>, with another 5 in progress,</w:t>
      </w:r>
      <w:r>
        <w:t xml:space="preserve"> since recommencement. The</w:t>
      </w:r>
      <w:r w:rsidR="6818625F">
        <w:t xml:space="preserve"> department has introduced a new app to improve the rigour, </w:t>
      </w:r>
      <w:proofErr w:type="gramStart"/>
      <w:r w:rsidR="6818625F">
        <w:t>objectivity</w:t>
      </w:r>
      <w:proofErr w:type="gramEnd"/>
      <w:r w:rsidR="6818625F">
        <w:t xml:space="preserve"> and standardisation of IO reports.</w:t>
      </w:r>
      <w:r w:rsidR="00AA0E23" w:rsidRPr="00AA0E23">
        <w:t xml:space="preserve"> </w:t>
      </w:r>
    </w:p>
    <w:p w14:paraId="542ED83D" w14:textId="09291ED3" w:rsidR="00931545" w:rsidRDefault="6818625F" w:rsidP="00931545">
      <w:r>
        <w:t>The department advised the inspector-general that there</w:t>
      </w:r>
      <w:r w:rsidR="19FC3509">
        <w:t xml:space="preserve"> had been a significant delay </w:t>
      </w:r>
      <w:r>
        <w:t>in publishing these reports</w:t>
      </w:r>
      <w:r w:rsidR="06A6CCD8">
        <w:t>. This was</w:t>
      </w:r>
      <w:r>
        <w:t xml:space="preserve"> </w:t>
      </w:r>
      <w:r w:rsidR="19FC3509">
        <w:t xml:space="preserve">due to the implementation of </w:t>
      </w:r>
      <w:r>
        <w:t>the new</w:t>
      </w:r>
      <w:r w:rsidR="7C11B08A">
        <w:t xml:space="preserve"> </w:t>
      </w:r>
      <w:r w:rsidR="19FC3509">
        <w:t>app</w:t>
      </w:r>
      <w:r>
        <w:t xml:space="preserve"> and </w:t>
      </w:r>
      <w:r w:rsidR="06A6CCD8">
        <w:t xml:space="preserve">the time it took to </w:t>
      </w:r>
      <w:r>
        <w:t>work through how to extract and publish information from it. The inspector-general has been assured that</w:t>
      </w:r>
      <w:r w:rsidR="35679110">
        <w:t xml:space="preserve"> </w:t>
      </w:r>
      <w:r>
        <w:t>t</w:t>
      </w:r>
      <w:r w:rsidR="35679110">
        <w:t xml:space="preserve">he new app is designed to provide </w:t>
      </w:r>
      <w:r w:rsidR="2D99FE75">
        <w:t xml:space="preserve">more timely </w:t>
      </w:r>
      <w:r w:rsidR="1576B954">
        <w:t xml:space="preserve">data </w:t>
      </w:r>
      <w:r w:rsidR="2D99FE75">
        <w:t>as well as a more</w:t>
      </w:r>
      <w:r w:rsidR="35679110">
        <w:t xml:space="preserve"> </w:t>
      </w:r>
      <w:r w:rsidR="68E9A318">
        <w:t>consistent format</w:t>
      </w:r>
      <w:r w:rsidR="7EA6A2E7">
        <w:t xml:space="preserve"> and</w:t>
      </w:r>
      <w:r w:rsidR="2D99FE75">
        <w:t xml:space="preserve"> use of</w:t>
      </w:r>
      <w:r w:rsidR="7EA6A2E7">
        <w:t xml:space="preserve"> terminology</w:t>
      </w:r>
      <w:r>
        <w:t xml:space="preserve"> once fully implemented</w:t>
      </w:r>
      <w:r w:rsidR="68E9A318">
        <w:t>.</w:t>
      </w:r>
    </w:p>
    <w:p w14:paraId="11317A9D" w14:textId="3E7B9320" w:rsidR="00EA5833" w:rsidRDefault="001015AF" w:rsidP="000C7D72">
      <w:r>
        <w:t xml:space="preserve">The department also indicated that </w:t>
      </w:r>
      <w:r w:rsidR="00EA5833">
        <w:t>delay</w:t>
      </w:r>
      <w:r>
        <w:t>s</w:t>
      </w:r>
      <w:r w:rsidR="00EA5833">
        <w:t xml:space="preserve"> in publishing IO reports </w:t>
      </w:r>
      <w:r>
        <w:t xml:space="preserve">were because any potential non-compliances required investigation and </w:t>
      </w:r>
      <w:r w:rsidR="00EA5833">
        <w:t xml:space="preserve">the investigation process can take considerable amounts of time depending on </w:t>
      </w:r>
      <w:r>
        <w:t>its</w:t>
      </w:r>
      <w:r w:rsidR="00EA5833">
        <w:t xml:space="preserve"> complexity</w:t>
      </w:r>
      <w:r>
        <w:t>.</w:t>
      </w:r>
      <w:r w:rsidR="00EA5833">
        <w:t xml:space="preserve"> This includes assessing observational data fro</w:t>
      </w:r>
      <w:r w:rsidR="003F6026">
        <w:t>m</w:t>
      </w:r>
      <w:r w:rsidR="00EA5833">
        <w:t xml:space="preserve"> the IO</w:t>
      </w:r>
      <w:r w:rsidR="003F6026">
        <w:t xml:space="preserve">, including images and video footage, and getting it </w:t>
      </w:r>
      <w:r w:rsidR="00B72FDE">
        <w:t xml:space="preserve">technically </w:t>
      </w:r>
      <w:r w:rsidR="003F6026">
        <w:t xml:space="preserve">peer reviewed </w:t>
      </w:r>
      <w:r w:rsidR="006A798C" w:rsidRPr="006A798C">
        <w:t>(</w:t>
      </w:r>
      <w:r w:rsidR="00CA1999" w:rsidRPr="00CA1999">
        <w:t>Commonwealth of Australia 2023</w:t>
      </w:r>
      <w:r w:rsidR="006A798C" w:rsidRPr="006A798C">
        <w:t>)</w:t>
      </w:r>
      <w:r w:rsidR="003F6026">
        <w:t>.</w:t>
      </w:r>
    </w:p>
    <w:p w14:paraId="5D2B3CD4" w14:textId="2F265601" w:rsidR="00671A7C" w:rsidRDefault="00671A7C" w:rsidP="00671A7C">
      <w:r>
        <w:t xml:space="preserve">The inspector-general’s review into </w:t>
      </w:r>
      <w:r w:rsidR="00B815FB" w:rsidRPr="00C60AE8">
        <w:rPr>
          <w:rStyle w:val="Emphasis"/>
        </w:rPr>
        <w:t>M</w:t>
      </w:r>
      <w:r w:rsidRPr="00C60AE8">
        <w:rPr>
          <w:rStyle w:val="Emphasis"/>
        </w:rPr>
        <w:t>onitoring and reporting during livestock export voyages</w:t>
      </w:r>
      <w:r>
        <w:t xml:space="preserve"> recommended:</w:t>
      </w:r>
    </w:p>
    <w:p w14:paraId="01730EF4" w14:textId="40D596A9" w:rsidR="00671A7C" w:rsidRDefault="00671A7C" w:rsidP="00671A7C">
      <w:pPr>
        <w:pStyle w:val="Quote"/>
      </w:pPr>
      <w:r>
        <w:t>Recommendation 6: That Independent Observer summary reports be published within a service-level commitment period after the conclusion of a voyage. Any matters under further investigation should be noted. Details of matters under investigation may be excluded, as appropriate, until the department's course of action is determined. Once this is determined, the published report should be updated to explain the issue and the department's response (IGLAE 2020</w:t>
      </w:r>
      <w:r w:rsidR="00C342B2">
        <w:t>b</w:t>
      </w:r>
      <w:r>
        <w:t>).</w:t>
      </w:r>
    </w:p>
    <w:p w14:paraId="36115F23" w14:textId="7F63AD1B" w:rsidR="00671A7C" w:rsidRDefault="00671A7C" w:rsidP="00671A7C">
      <w:r>
        <w:t>The department supported the recommendation:</w:t>
      </w:r>
    </w:p>
    <w:p w14:paraId="597986F4" w14:textId="2BD589ED" w:rsidR="00671A7C" w:rsidRDefault="00671A7C" w:rsidP="00671A7C">
      <w:pPr>
        <w:pStyle w:val="Quote"/>
      </w:pPr>
      <w:r>
        <w:t>The department will review its procedures for processing Independent Observer Reports with a view to establishing a timeframe within which summary reports will be published.</w:t>
      </w:r>
    </w:p>
    <w:p w14:paraId="242A87C2" w14:textId="79B53B67" w:rsidR="00931545" w:rsidRDefault="00931545" w:rsidP="00F82613">
      <w:pPr>
        <w:pStyle w:val="Heading3"/>
      </w:pPr>
      <w:bookmarkStart w:id="31" w:name="_Toc131596835"/>
      <w:r>
        <w:t>End of journey</w:t>
      </w:r>
      <w:r w:rsidR="006A68A2">
        <w:t xml:space="preserve"> and voyage</w:t>
      </w:r>
      <w:r>
        <w:t xml:space="preserve"> report</w:t>
      </w:r>
      <w:r w:rsidR="006A68A2">
        <w:t>s</w:t>
      </w:r>
      <w:bookmarkEnd w:id="31"/>
    </w:p>
    <w:p w14:paraId="0EA6F106" w14:textId="4DA4794E" w:rsidR="00931545" w:rsidRDefault="00931545" w:rsidP="00931545">
      <w:r>
        <w:t xml:space="preserve">ASEL requires exporters to provide an </w:t>
      </w:r>
      <w:r w:rsidR="00731836">
        <w:t>e</w:t>
      </w:r>
      <w:r w:rsidRPr="009D7F82">
        <w:t xml:space="preserve">nd of </w:t>
      </w:r>
      <w:r w:rsidR="00731836">
        <w:t>j</w:t>
      </w:r>
      <w:r w:rsidRPr="009D7F82">
        <w:t>ourney</w:t>
      </w:r>
      <w:r>
        <w:t xml:space="preserve"> report for every livestock consignment exported by air</w:t>
      </w:r>
      <w:r w:rsidR="00B72FDE">
        <w:t xml:space="preserve"> to the department</w:t>
      </w:r>
      <w:r>
        <w:t xml:space="preserve">. The </w:t>
      </w:r>
      <w:r w:rsidR="00B72FDE">
        <w:t xml:space="preserve">department publishes a </w:t>
      </w:r>
      <w:proofErr w:type="gramStart"/>
      <w:r w:rsidRPr="04852FD9">
        <w:rPr>
          <w:rStyle w:val="Emphasis"/>
        </w:rPr>
        <w:t>Livestock exports</w:t>
      </w:r>
      <w:proofErr w:type="gramEnd"/>
      <w:r w:rsidRPr="04852FD9">
        <w:rPr>
          <w:rStyle w:val="Emphasis"/>
        </w:rPr>
        <w:t xml:space="preserve"> by air</w:t>
      </w:r>
      <w:r>
        <w:t xml:space="preserve"> report</w:t>
      </w:r>
      <w:r w:rsidR="00B72FDE">
        <w:t xml:space="preserve"> that</w:t>
      </w:r>
      <w:r>
        <w:t xml:space="preserve"> includes information </w:t>
      </w:r>
      <w:r w:rsidR="00B72FDE">
        <w:t>derived from</w:t>
      </w:r>
      <w:r>
        <w:t xml:space="preserve"> </w:t>
      </w:r>
      <w:r w:rsidR="55006D75">
        <w:t xml:space="preserve">export permits and statistics on mortalities and other information from </w:t>
      </w:r>
      <w:r>
        <w:t xml:space="preserve">the </w:t>
      </w:r>
      <w:r w:rsidR="006A6D26">
        <w:t>e</w:t>
      </w:r>
      <w:r w:rsidRPr="009D7F82">
        <w:t xml:space="preserve">nd of </w:t>
      </w:r>
      <w:r w:rsidR="006A6D26">
        <w:t>j</w:t>
      </w:r>
      <w:r w:rsidRPr="009D7F82">
        <w:t>ourney</w:t>
      </w:r>
      <w:r>
        <w:t xml:space="preserve"> reports. The</w:t>
      </w:r>
      <w:r w:rsidR="00B72FDE">
        <w:t xml:space="preserve"> </w:t>
      </w:r>
      <w:r w:rsidR="00B72FDE" w:rsidRPr="04852FD9">
        <w:rPr>
          <w:rStyle w:val="Emphasis"/>
        </w:rPr>
        <w:t>Livestock exports by air</w:t>
      </w:r>
      <w:r>
        <w:t xml:space="preserve"> report includes total mortalities and mortality rates for all species for each financial year. There is 5 years of data</w:t>
      </w:r>
      <w:r w:rsidR="00557076">
        <w:t xml:space="preserve"> available on the department’s website</w:t>
      </w:r>
      <w:r w:rsidR="009D4409">
        <w:t xml:space="preserve"> in this regard</w:t>
      </w:r>
      <w:r w:rsidR="00557076">
        <w:t>.</w:t>
      </w:r>
    </w:p>
    <w:p w14:paraId="7CC8B5CF" w14:textId="2D9C6E03" w:rsidR="00105129" w:rsidRDefault="008A701D" w:rsidP="00931545">
      <w:r w:rsidRPr="008A701D">
        <w:t xml:space="preserve">For export of prescribed livestock by sea, the Export Control (Animals) Rules 2021 </w:t>
      </w:r>
      <w:r w:rsidR="006A68A2">
        <w:t xml:space="preserve">(s 6-6(2) </w:t>
      </w:r>
      <w:r w:rsidRPr="008A701D">
        <w:t>requires the exporter to provide the department an end of voyage report. This is also specified under ASEL</w:t>
      </w:r>
      <w:r w:rsidR="006A68A2">
        <w:t xml:space="preserve"> </w:t>
      </w:r>
      <w:r w:rsidRPr="008A701D">
        <w:t>standard 5.6.8.</w:t>
      </w:r>
    </w:p>
    <w:p w14:paraId="35793AF6" w14:textId="49108F8D" w:rsidR="00931545" w:rsidRDefault="1C6DC76D" w:rsidP="00931545">
      <w:r>
        <w:lastRenderedPageBreak/>
        <w:t>Exporters must notify the department when the</w:t>
      </w:r>
      <w:r w:rsidR="24AE8F40">
        <w:t xml:space="preserve"> air or sea export consignment</w:t>
      </w:r>
      <w:r>
        <w:t xml:space="preserve"> mortality rate reaches the notifiable mortality level. Under ASEL, the </w:t>
      </w:r>
      <w:r w:rsidR="24AE8F40">
        <w:t>notifiable</w:t>
      </w:r>
      <w:r>
        <w:t xml:space="preserve"> level for cattle and buffalo is 0.5% or 3 animals, whichever is greater. The </w:t>
      </w:r>
      <w:r w:rsidR="24AE8F40">
        <w:t>notifiable</w:t>
      </w:r>
      <w:r>
        <w:t xml:space="preserve"> level for sheep and goats is 1% or </w:t>
      </w:r>
      <w:r w:rsidR="004005F9">
        <w:br/>
      </w:r>
      <w:r>
        <w:t>3 animals, whichever is greater. The department investigates all instances of notifiable mortality rates on air and sea consignments. Following investigations, detailed</w:t>
      </w:r>
      <w:r w:rsidR="13C39A27">
        <w:t xml:space="preserve"> </w:t>
      </w:r>
      <w:hyperlink r:id="rId27" w:anchor="2021">
        <w:r w:rsidR="13C39A27" w:rsidRPr="3CE7DD6E">
          <w:rPr>
            <w:rStyle w:val="Hyperlink"/>
          </w:rPr>
          <w:t>mortality</w:t>
        </w:r>
        <w:r w:rsidRPr="3CE7DD6E">
          <w:rPr>
            <w:rStyle w:val="Hyperlink"/>
          </w:rPr>
          <w:t xml:space="preserve"> reports</w:t>
        </w:r>
      </w:hyperlink>
      <w:r>
        <w:t xml:space="preserve"> are published</w:t>
      </w:r>
      <w:r w:rsidR="13C39A27">
        <w:t xml:space="preserve">. </w:t>
      </w:r>
      <w:r w:rsidR="29EEBB01">
        <w:t>The r</w:t>
      </w:r>
      <w:r>
        <w:t>eports include any actions required</w:t>
      </w:r>
      <w:r w:rsidR="24AE8F40">
        <w:t xml:space="preserve"> of exporters</w:t>
      </w:r>
      <w:r>
        <w:t xml:space="preserve"> by </w:t>
      </w:r>
      <w:r w:rsidR="24AE8F40">
        <w:t>the department in response to mortalities</w:t>
      </w:r>
      <w:r>
        <w:t>. Th</w:t>
      </w:r>
      <w:r w:rsidR="24AE8F40">
        <w:t>is</w:t>
      </w:r>
      <w:r>
        <w:t xml:space="preserve"> can </w:t>
      </w:r>
      <w:r w:rsidR="24AE8F40">
        <w:t>include</w:t>
      </w:r>
      <w:r>
        <w:t xml:space="preserve"> additional control measures, deployment of an independent observer or accredited veterinarian, or </w:t>
      </w:r>
      <w:r w:rsidR="73DF8409">
        <w:t>other regulatory response</w:t>
      </w:r>
      <w:r>
        <w:t>.</w:t>
      </w:r>
    </w:p>
    <w:p w14:paraId="06D7C9A9" w14:textId="66147330" w:rsidR="00931545" w:rsidRDefault="006A68A2" w:rsidP="00F82613">
      <w:pPr>
        <w:pStyle w:val="Heading3"/>
      </w:pPr>
      <w:bookmarkStart w:id="32" w:name="_Toc131596836"/>
      <w:r>
        <w:t xml:space="preserve">Report to </w:t>
      </w:r>
      <w:r w:rsidR="00931545">
        <w:t>Parliament</w:t>
      </w:r>
      <w:bookmarkEnd w:id="32"/>
      <w:r w:rsidR="00931545">
        <w:t xml:space="preserve"> </w:t>
      </w:r>
    </w:p>
    <w:p w14:paraId="1F600727" w14:textId="4D8E0641" w:rsidR="00931545" w:rsidRDefault="3D9B5E3A" w:rsidP="00931545">
      <w:r>
        <w:t>T</w:t>
      </w:r>
      <w:r w:rsidR="19FC3509">
        <w:t xml:space="preserve">he Minister for Agriculture, Fisheries and Forestry </w:t>
      </w:r>
      <w:r>
        <w:t>is required to</w:t>
      </w:r>
      <w:r w:rsidR="19FC3509">
        <w:t xml:space="preserve"> table in Parliament a departmental report on livestock </w:t>
      </w:r>
      <w:r w:rsidR="4CE0887A">
        <w:t xml:space="preserve">exports </w:t>
      </w:r>
      <w:r w:rsidR="19FC3509">
        <w:t>from every sea voyage</w:t>
      </w:r>
      <w:r>
        <w:t xml:space="preserve"> every </w:t>
      </w:r>
      <w:r w:rsidR="50B49E83">
        <w:t>6</w:t>
      </w:r>
      <w:r>
        <w:t xml:space="preserve"> months</w:t>
      </w:r>
      <w:r w:rsidR="19FC3509">
        <w:t xml:space="preserve">. </w:t>
      </w:r>
      <w:r w:rsidR="4F63BEBF">
        <w:t xml:space="preserve">The information must be based on reporting by the master of the vessel under Marine Orders made under subsection 342(1) of the </w:t>
      </w:r>
      <w:r w:rsidR="4F63BEBF" w:rsidRPr="04852FD9">
        <w:rPr>
          <w:rStyle w:val="Emphasis"/>
        </w:rPr>
        <w:t>Navigation Act 2012</w:t>
      </w:r>
      <w:r w:rsidR="3AF5A1BE">
        <w:t xml:space="preserve">. </w:t>
      </w:r>
      <w:r w:rsidR="19FC3509">
        <w:t xml:space="preserve">In accordance with the requirements of the </w:t>
      </w:r>
      <w:r w:rsidR="19FC3509" w:rsidRPr="04852FD9">
        <w:rPr>
          <w:rStyle w:val="Emphasis"/>
        </w:rPr>
        <w:t>Export Control Act 2020</w:t>
      </w:r>
      <w:r w:rsidR="19FC3509">
        <w:t xml:space="preserve">, the report relates only to information provided to the </w:t>
      </w:r>
      <w:r w:rsidR="2E4F4A69">
        <w:t>s</w:t>
      </w:r>
      <w:r w:rsidR="19FC3509">
        <w:t>ecretary or a delegate during the reporting period</w:t>
      </w:r>
      <w:r w:rsidR="76F78930">
        <w:t>,</w:t>
      </w:r>
      <w:r w:rsidR="2B429C8C">
        <w:t xml:space="preserve"> </w:t>
      </w:r>
      <w:r w:rsidR="76F78930">
        <w:t>r</w:t>
      </w:r>
      <w:r w:rsidR="19FC3509">
        <w:t>egardless of whether the voyages occurred during the reporting period.</w:t>
      </w:r>
      <w:r w:rsidR="76F78930">
        <w:t xml:space="preserve"> This means voyages that may have occurred during the reporting period but are yet to provide their end of voyage reports would not be included, </w:t>
      </w:r>
      <w:r w:rsidR="215B1A73">
        <w:t xml:space="preserve">which </w:t>
      </w:r>
      <w:r w:rsidR="76F78930">
        <w:t>sometimes lead</w:t>
      </w:r>
      <w:r w:rsidR="215B1A73">
        <w:t>s</w:t>
      </w:r>
      <w:r w:rsidR="76F78930">
        <w:t xml:space="preserve"> to confusion with stakeholders.</w:t>
      </w:r>
      <w:r w:rsidR="19FC3509">
        <w:t xml:space="preserve"> The department publishes a summary on its </w:t>
      </w:r>
      <w:hyperlink r:id="rId28" w:history="1">
        <w:r w:rsidR="4026A171" w:rsidRPr="04852FD9">
          <w:rPr>
            <w:rStyle w:val="Hyperlink"/>
          </w:rPr>
          <w:t>reports to Parliament</w:t>
        </w:r>
      </w:hyperlink>
      <w:r w:rsidR="37D2B7DC">
        <w:t xml:space="preserve"> </w:t>
      </w:r>
      <w:r w:rsidR="194CE337">
        <w:t xml:space="preserve">webpage. </w:t>
      </w:r>
      <w:r w:rsidR="37D2B7DC">
        <w:t>At the time of this review</w:t>
      </w:r>
      <w:r w:rsidR="495DFFC4">
        <w:t xml:space="preserve"> the last published </w:t>
      </w:r>
      <w:r w:rsidR="76F78930">
        <w:t>parliamentary report</w:t>
      </w:r>
      <w:r w:rsidR="495DFFC4">
        <w:t xml:space="preserve"> was </w:t>
      </w:r>
      <w:r w:rsidR="68F20331">
        <w:t xml:space="preserve">June </w:t>
      </w:r>
      <w:r w:rsidR="495DFFC4">
        <w:t>202</w:t>
      </w:r>
      <w:r w:rsidR="68F20331">
        <w:t>2</w:t>
      </w:r>
      <w:r w:rsidR="495DFFC4">
        <w:t>.</w:t>
      </w:r>
    </w:p>
    <w:p w14:paraId="7F85FA1A" w14:textId="77777777" w:rsidR="00E12815" w:rsidRDefault="00E12815" w:rsidP="00E12815">
      <w:pPr>
        <w:pStyle w:val="Heading3"/>
        <w:rPr>
          <w:lang w:eastAsia="ja-JP"/>
        </w:rPr>
      </w:pPr>
      <w:bookmarkStart w:id="33" w:name="_Toc131596837"/>
      <w:r>
        <w:rPr>
          <w:lang w:eastAsia="ja-JP"/>
        </w:rPr>
        <w:t>Freedom of information</w:t>
      </w:r>
      <w:bookmarkEnd w:id="33"/>
    </w:p>
    <w:p w14:paraId="51D8C6A2" w14:textId="72849E9D" w:rsidR="00E12815" w:rsidRDefault="00E12815" w:rsidP="00E12815">
      <w:pPr>
        <w:rPr>
          <w:lang w:eastAsia="ja-JP"/>
        </w:rPr>
      </w:pPr>
      <w:r>
        <w:rPr>
          <w:lang w:eastAsia="ja-JP"/>
        </w:rPr>
        <w:t>T</w:t>
      </w:r>
      <w:r w:rsidRPr="006476C3">
        <w:rPr>
          <w:lang w:eastAsia="ja-JP"/>
        </w:rPr>
        <w:t xml:space="preserve">he </w:t>
      </w:r>
      <w:r w:rsidRPr="006476C3">
        <w:rPr>
          <w:rStyle w:val="Emphasis"/>
          <w:lang w:eastAsia="ja-JP"/>
        </w:rPr>
        <w:t>Freedom of Information Act 1982</w:t>
      </w:r>
      <w:r>
        <w:rPr>
          <w:rStyle w:val="Emphasis"/>
          <w:lang w:eastAsia="ja-JP"/>
        </w:rPr>
        <w:t xml:space="preserve"> </w:t>
      </w:r>
      <w:r w:rsidR="007855C6">
        <w:t>requires</w:t>
      </w:r>
      <w:r w:rsidRPr="00B66AC5">
        <w:t xml:space="preserve"> government agenc</w:t>
      </w:r>
      <w:r w:rsidR="007855C6">
        <w:t>ies</w:t>
      </w:r>
      <w:r w:rsidRPr="00B66AC5">
        <w:t xml:space="preserve"> </w:t>
      </w:r>
      <w:r w:rsidR="007855C6">
        <w:t>to</w:t>
      </w:r>
      <w:r w:rsidRPr="00B66AC5">
        <w:t xml:space="preserve"> prepare an</w:t>
      </w:r>
      <w:r w:rsidRPr="00B66AC5">
        <w:rPr>
          <w:lang w:eastAsia="ja-JP"/>
        </w:rPr>
        <w:t xml:space="preserve"> </w:t>
      </w:r>
      <w:r w:rsidRPr="006476C3">
        <w:rPr>
          <w:lang w:eastAsia="ja-JP"/>
        </w:rPr>
        <w:t>Information Publication Scheme</w:t>
      </w:r>
      <w:r>
        <w:rPr>
          <w:lang w:eastAsia="ja-JP"/>
        </w:rPr>
        <w:t xml:space="preserve"> (IPS)</w:t>
      </w:r>
      <w:r w:rsidRPr="00B66AC5">
        <w:t xml:space="preserve"> plan</w:t>
      </w:r>
      <w:r>
        <w:t xml:space="preserve">. </w:t>
      </w:r>
      <w:r>
        <w:rPr>
          <w:lang w:eastAsia="ja-JP"/>
        </w:rPr>
        <w:t xml:space="preserve">The department’s </w:t>
      </w:r>
      <w:r w:rsidRPr="006476C3">
        <w:rPr>
          <w:lang w:eastAsia="ja-JP"/>
        </w:rPr>
        <w:t xml:space="preserve">plan sets out how </w:t>
      </w:r>
      <w:r>
        <w:rPr>
          <w:lang w:eastAsia="ja-JP"/>
        </w:rPr>
        <w:t>it</w:t>
      </w:r>
      <w:r w:rsidRPr="006476C3">
        <w:rPr>
          <w:lang w:eastAsia="ja-JP"/>
        </w:rPr>
        <w:t xml:space="preserve"> will make information available under the IPS. </w:t>
      </w:r>
      <w:r>
        <w:rPr>
          <w:lang w:eastAsia="ja-JP"/>
        </w:rPr>
        <w:t xml:space="preserve">The department will provide documents that </w:t>
      </w:r>
      <w:r w:rsidR="00320313">
        <w:rPr>
          <w:lang w:eastAsia="ja-JP"/>
        </w:rPr>
        <w:t xml:space="preserve">they </w:t>
      </w:r>
      <w:r>
        <w:rPr>
          <w:lang w:eastAsia="ja-JP"/>
        </w:rPr>
        <w:t>are requested to give access to</w:t>
      </w:r>
      <w:r w:rsidR="00D9511B">
        <w:rPr>
          <w:lang w:eastAsia="ja-JP"/>
        </w:rPr>
        <w:t xml:space="preserve"> through an FOI request</w:t>
      </w:r>
      <w:r>
        <w:rPr>
          <w:lang w:eastAsia="ja-JP"/>
        </w:rPr>
        <w:t>, except if it contains:</w:t>
      </w:r>
    </w:p>
    <w:p w14:paraId="04491331" w14:textId="77777777" w:rsidR="00E12815" w:rsidRDefault="00E12815" w:rsidP="00E12815">
      <w:pPr>
        <w:pStyle w:val="ListBullet"/>
        <w:rPr>
          <w:lang w:eastAsia="ja-JP"/>
        </w:rPr>
      </w:pPr>
      <w:r>
        <w:rPr>
          <w:lang w:eastAsia="ja-JP"/>
        </w:rPr>
        <w:t>personal information</w:t>
      </w:r>
    </w:p>
    <w:p w14:paraId="0271E638" w14:textId="77777777" w:rsidR="00E12815" w:rsidRDefault="00E12815" w:rsidP="00E12815">
      <w:pPr>
        <w:pStyle w:val="ListBullet"/>
        <w:rPr>
          <w:lang w:eastAsia="ja-JP"/>
        </w:rPr>
      </w:pPr>
      <w:r>
        <w:rPr>
          <w:lang w:eastAsia="ja-JP"/>
        </w:rPr>
        <w:t xml:space="preserve">information about the business, commercial, </w:t>
      </w:r>
      <w:proofErr w:type="gramStart"/>
      <w:r>
        <w:rPr>
          <w:lang w:eastAsia="ja-JP"/>
        </w:rPr>
        <w:t>financial</w:t>
      </w:r>
      <w:proofErr w:type="gramEnd"/>
      <w:r>
        <w:rPr>
          <w:lang w:eastAsia="ja-JP"/>
        </w:rPr>
        <w:t xml:space="preserve"> or professional affairs of any person</w:t>
      </w:r>
    </w:p>
    <w:p w14:paraId="66999449" w14:textId="77777777" w:rsidR="00E12815" w:rsidRDefault="00E12815" w:rsidP="00E12815">
      <w:pPr>
        <w:pStyle w:val="ListBullet"/>
        <w:rPr>
          <w:lang w:eastAsia="ja-JP"/>
        </w:rPr>
      </w:pPr>
      <w:r>
        <w:rPr>
          <w:lang w:eastAsia="ja-JP"/>
        </w:rPr>
        <w:t>other information determined by the Information Commissioner to be unreasonable to publish.</w:t>
      </w:r>
    </w:p>
    <w:p w14:paraId="380F1133" w14:textId="60D5FE36" w:rsidR="00336195" w:rsidRDefault="004C1405" w:rsidP="00E12815">
      <w:pPr>
        <w:rPr>
          <w:lang w:eastAsia="ja-JP"/>
        </w:rPr>
      </w:pPr>
      <w:r w:rsidRPr="004C1405">
        <w:rPr>
          <w:lang w:eastAsia="ja-JP"/>
        </w:rPr>
        <w:t xml:space="preserve">In accordance with the </w:t>
      </w:r>
      <w:r w:rsidRPr="00907350">
        <w:rPr>
          <w:i/>
          <w:iCs/>
          <w:lang w:eastAsia="ja-JP"/>
        </w:rPr>
        <w:t>Freedom of Information Act 1982</w:t>
      </w:r>
      <w:r>
        <w:rPr>
          <w:lang w:eastAsia="ja-JP"/>
        </w:rPr>
        <w:t>, t</w:t>
      </w:r>
      <w:r w:rsidR="5CA3B02A" w:rsidRPr="04852FD9">
        <w:rPr>
          <w:lang w:eastAsia="ja-JP"/>
        </w:rPr>
        <w:t>he department redacts irrelevant or exempt material from documents</w:t>
      </w:r>
      <w:r w:rsidR="60786DB2" w:rsidRPr="04852FD9">
        <w:rPr>
          <w:lang w:eastAsia="ja-JP"/>
        </w:rPr>
        <w:t xml:space="preserve"> before providing them</w:t>
      </w:r>
      <w:r w:rsidR="5CA3B02A" w:rsidRPr="04852FD9">
        <w:rPr>
          <w:lang w:eastAsia="ja-JP"/>
        </w:rPr>
        <w:t xml:space="preserve">. </w:t>
      </w:r>
      <w:r w:rsidR="444B9B71" w:rsidRPr="04852FD9">
        <w:rPr>
          <w:lang w:eastAsia="ja-JP"/>
        </w:rPr>
        <w:t>The department may also refuse to process an FOI request if they deem the request to be unclear or would involve a substantial and unreasonable diversion of resources to process. This may be due to the request being too broad in scope or involve too many documents.</w:t>
      </w:r>
    </w:p>
    <w:p w14:paraId="2CDA993A" w14:textId="4E6B6947" w:rsidR="00E12815" w:rsidRDefault="444B9B71" w:rsidP="00E12815">
      <w:pPr>
        <w:rPr>
          <w:lang w:eastAsia="ja-JP"/>
        </w:rPr>
      </w:pPr>
      <w:r w:rsidRPr="04852FD9">
        <w:rPr>
          <w:lang w:eastAsia="ja-JP"/>
        </w:rPr>
        <w:t xml:space="preserve">The department provides a </w:t>
      </w:r>
      <w:hyperlink r:id="rId29">
        <w:r w:rsidRPr="04852FD9">
          <w:rPr>
            <w:rStyle w:val="Hyperlink"/>
            <w:lang w:eastAsia="ja-JP"/>
          </w:rPr>
          <w:t>disclosure log</w:t>
        </w:r>
      </w:hyperlink>
      <w:r w:rsidRPr="04852FD9">
        <w:rPr>
          <w:lang w:eastAsia="ja-JP"/>
        </w:rPr>
        <w:t xml:space="preserve"> which publishes a list of documents released in response to FOI requests.</w:t>
      </w:r>
      <w:r w:rsidR="006A68A2">
        <w:rPr>
          <w:lang w:eastAsia="ja-JP"/>
        </w:rPr>
        <w:t xml:space="preserve"> </w:t>
      </w:r>
      <w:r w:rsidR="006A68A2" w:rsidRPr="006A68A2">
        <w:rPr>
          <w:lang w:eastAsia="ja-JP"/>
        </w:rPr>
        <w:t xml:space="preserve">The disclosure log is not </w:t>
      </w:r>
      <w:r w:rsidR="00336195">
        <w:rPr>
          <w:lang w:eastAsia="ja-JP"/>
        </w:rPr>
        <w:t xml:space="preserve">a </w:t>
      </w:r>
      <w:r w:rsidR="006A68A2" w:rsidRPr="006A68A2">
        <w:rPr>
          <w:lang w:eastAsia="ja-JP"/>
        </w:rPr>
        <w:t xml:space="preserve">comprehensive </w:t>
      </w:r>
      <w:r w:rsidR="00FC1C1A">
        <w:rPr>
          <w:lang w:eastAsia="ja-JP"/>
        </w:rPr>
        <w:t xml:space="preserve">list </w:t>
      </w:r>
      <w:r w:rsidR="006A68A2" w:rsidRPr="006A68A2">
        <w:rPr>
          <w:lang w:eastAsia="ja-JP"/>
        </w:rPr>
        <w:t>of all documents released or all FOIs</w:t>
      </w:r>
      <w:r w:rsidR="006A68A2">
        <w:rPr>
          <w:lang w:eastAsia="ja-JP"/>
        </w:rPr>
        <w:t>.</w:t>
      </w:r>
    </w:p>
    <w:p w14:paraId="59351558" w14:textId="16335164" w:rsidR="00E12815" w:rsidRDefault="00E12815" w:rsidP="00E12815">
      <w:pPr>
        <w:rPr>
          <w:lang w:eastAsia="ja-JP"/>
        </w:rPr>
      </w:pPr>
      <w:r w:rsidRPr="00350C74">
        <w:rPr>
          <w:lang w:eastAsia="ja-JP"/>
        </w:rPr>
        <w:t xml:space="preserve">The </w:t>
      </w:r>
      <w:r w:rsidR="00A0101B">
        <w:rPr>
          <w:lang w:eastAsia="ja-JP"/>
        </w:rPr>
        <w:t>P</w:t>
      </w:r>
      <w:r w:rsidRPr="00350C74">
        <w:rPr>
          <w:lang w:eastAsia="ja-JP"/>
        </w:rPr>
        <w:t xml:space="preserve">rivacy </w:t>
      </w:r>
      <w:r w:rsidR="006A68A2">
        <w:rPr>
          <w:lang w:eastAsia="ja-JP"/>
        </w:rPr>
        <w:t>Act</w:t>
      </w:r>
      <w:r w:rsidR="006A68A2" w:rsidRPr="00350C74">
        <w:rPr>
          <w:lang w:eastAsia="ja-JP"/>
        </w:rPr>
        <w:t xml:space="preserve"> </w:t>
      </w:r>
      <w:r w:rsidRPr="00350C74">
        <w:rPr>
          <w:lang w:eastAsia="ja-JP"/>
        </w:rPr>
        <w:t>can also prevent the publication or presentation of requested information.</w:t>
      </w:r>
      <w:r w:rsidR="00753C4A">
        <w:rPr>
          <w:lang w:eastAsia="ja-JP"/>
        </w:rPr>
        <w:t xml:space="preserve"> </w:t>
      </w:r>
      <w:bookmarkStart w:id="34" w:name="_Hlk129949870"/>
      <w:r w:rsidR="00753C4A">
        <w:rPr>
          <w:lang w:eastAsia="ja-JP"/>
        </w:rPr>
        <w:t>The Office of the Australian Information Commissioner</w:t>
      </w:r>
      <w:r w:rsidR="0061706B">
        <w:rPr>
          <w:lang w:eastAsia="ja-JP"/>
        </w:rPr>
        <w:t xml:space="preserve"> (OAIC)</w:t>
      </w:r>
      <w:r w:rsidR="00753C4A">
        <w:rPr>
          <w:lang w:eastAsia="ja-JP"/>
        </w:rPr>
        <w:t xml:space="preserve"> is the independent regulator for privacy and FOI matters.</w:t>
      </w:r>
      <w:bookmarkEnd w:id="34"/>
    </w:p>
    <w:p w14:paraId="6480B18D" w14:textId="77777777" w:rsidR="00E12815" w:rsidRDefault="00E12815" w:rsidP="00E12815">
      <w:pPr>
        <w:pStyle w:val="Heading3"/>
        <w:rPr>
          <w:lang w:eastAsia="ja-JP"/>
        </w:rPr>
      </w:pPr>
      <w:bookmarkStart w:id="35" w:name="_Toc131596838"/>
      <w:r>
        <w:rPr>
          <w:lang w:eastAsia="ja-JP"/>
        </w:rPr>
        <w:lastRenderedPageBreak/>
        <w:t>Privacy policy</w:t>
      </w:r>
      <w:bookmarkEnd w:id="35"/>
    </w:p>
    <w:p w14:paraId="38284D3C" w14:textId="674149A2" w:rsidR="00E12815" w:rsidRDefault="00E12815" w:rsidP="00E12815">
      <w:pPr>
        <w:rPr>
          <w:lang w:eastAsia="ja-JP"/>
        </w:rPr>
      </w:pPr>
      <w:r>
        <w:rPr>
          <w:lang w:eastAsia="ja-JP"/>
        </w:rPr>
        <w:t xml:space="preserve">The department’s privacy policy is </w:t>
      </w:r>
      <w:r w:rsidR="004C1405">
        <w:rPr>
          <w:lang w:eastAsia="ja-JP"/>
        </w:rPr>
        <w:t>in accordance with</w:t>
      </w:r>
      <w:r>
        <w:rPr>
          <w:lang w:eastAsia="ja-JP"/>
        </w:rPr>
        <w:t xml:space="preserve"> the </w:t>
      </w:r>
      <w:r w:rsidRPr="008C1177">
        <w:rPr>
          <w:rStyle w:val="Emphasis"/>
        </w:rPr>
        <w:t>Privacy Act 1988</w:t>
      </w:r>
      <w:r>
        <w:rPr>
          <w:lang w:eastAsia="ja-JP"/>
        </w:rPr>
        <w:t>. The department may collect personal information where it is necessary for one or more of its functions. Personal information is any information or opinion about an individual that is reasonably identifiable.</w:t>
      </w:r>
    </w:p>
    <w:p w14:paraId="7D27B68F" w14:textId="77777777" w:rsidR="00E12815" w:rsidRDefault="444B9B71" w:rsidP="00E12815">
      <w:pPr>
        <w:rPr>
          <w:lang w:eastAsia="ja-JP"/>
        </w:rPr>
      </w:pPr>
      <w:r w:rsidRPr="4770B6D3">
        <w:rPr>
          <w:lang w:eastAsia="ja-JP"/>
        </w:rPr>
        <w:t>Business information does not fall within the definition of personal information under the Privacy Act. However, it may do so where the information is related to sole traders and partnerships.</w:t>
      </w:r>
      <w:r>
        <w:t xml:space="preserve"> </w:t>
      </w:r>
      <w:r w:rsidRPr="4770B6D3">
        <w:rPr>
          <w:lang w:eastAsia="ja-JP"/>
        </w:rPr>
        <w:t>Where business information contains personal information, the Privacy Policy will apply to the personal information component (DAFF 2022b).</w:t>
      </w:r>
    </w:p>
    <w:p w14:paraId="6291205B" w14:textId="77777777" w:rsidR="00DF6FFD" w:rsidRDefault="00DF6FFD" w:rsidP="00DF6FFD">
      <w:pPr>
        <w:pStyle w:val="Heading3"/>
        <w:rPr>
          <w:lang w:eastAsia="ja-JP"/>
        </w:rPr>
      </w:pPr>
      <w:bookmarkStart w:id="36" w:name="_Toc131596839"/>
      <w:r>
        <w:rPr>
          <w:lang w:eastAsia="ja-JP"/>
        </w:rPr>
        <w:t>Observations and findings</w:t>
      </w:r>
      <w:bookmarkEnd w:id="36"/>
    </w:p>
    <w:p w14:paraId="74932908" w14:textId="70382BEA" w:rsidR="00DF6FFD" w:rsidRDefault="00DF6FFD" w:rsidP="00DF6FFD">
      <w:pPr>
        <w:rPr>
          <w:lang w:eastAsia="ja-JP"/>
        </w:rPr>
      </w:pPr>
      <w:r>
        <w:rPr>
          <w:lang w:eastAsia="ja-JP"/>
        </w:rPr>
        <w:t xml:space="preserve">The department seeks to provide transparency of the livestock export industry by reporting and publishing a range of information on their </w:t>
      </w:r>
      <w:r w:rsidR="008C75F0">
        <w:rPr>
          <w:lang w:eastAsia="ja-JP"/>
        </w:rPr>
        <w:t>website and</w:t>
      </w:r>
      <w:r>
        <w:rPr>
          <w:lang w:eastAsia="ja-JP"/>
        </w:rPr>
        <w:t xml:space="preserve"> have done so for some time. The department is to be commended in this regard. </w:t>
      </w:r>
      <w:r w:rsidR="00676B2F">
        <w:rPr>
          <w:lang w:eastAsia="ja-JP"/>
        </w:rPr>
        <w:t>Discussed below</w:t>
      </w:r>
      <w:r>
        <w:rPr>
          <w:lang w:eastAsia="ja-JP"/>
        </w:rPr>
        <w:t xml:space="preserve"> are a range of ways in which this reporting could be improved to increase the timeliness, </w:t>
      </w:r>
      <w:proofErr w:type="gramStart"/>
      <w:r>
        <w:rPr>
          <w:lang w:eastAsia="ja-JP"/>
        </w:rPr>
        <w:t>consistency</w:t>
      </w:r>
      <w:proofErr w:type="gramEnd"/>
      <w:r>
        <w:rPr>
          <w:lang w:eastAsia="ja-JP"/>
        </w:rPr>
        <w:t xml:space="preserve"> and utility of the information.</w:t>
      </w:r>
    </w:p>
    <w:p w14:paraId="4C9A2046" w14:textId="7BFE0E1E" w:rsidR="00DF6FFD" w:rsidRDefault="00DF6FFD" w:rsidP="00DF6FFD">
      <w:pPr>
        <w:rPr>
          <w:lang w:eastAsia="ja-JP"/>
        </w:rPr>
      </w:pPr>
      <w:r>
        <w:rPr>
          <w:lang w:eastAsia="ja-JP"/>
        </w:rPr>
        <w:t xml:space="preserve">However, the </w:t>
      </w:r>
      <w:r w:rsidR="00B62D6F">
        <w:rPr>
          <w:lang w:eastAsia="ja-JP"/>
        </w:rPr>
        <w:t>major challenge</w:t>
      </w:r>
      <w:r>
        <w:rPr>
          <w:lang w:eastAsia="ja-JP"/>
        </w:rPr>
        <w:t xml:space="preserve"> for the department </w:t>
      </w:r>
      <w:r w:rsidR="002B3B23">
        <w:rPr>
          <w:lang w:eastAsia="ja-JP"/>
        </w:rPr>
        <w:t xml:space="preserve">remains </w:t>
      </w:r>
      <w:r>
        <w:rPr>
          <w:lang w:eastAsia="ja-JP"/>
        </w:rPr>
        <w:t xml:space="preserve">public trust and confidence in them as a regulator. One way in which regulators seek to instil public trust and confidence in their regulatory regime is by regularly publishing the activities they undertake to assure compliance. For example, the number and types of audits, inspections, </w:t>
      </w:r>
      <w:proofErr w:type="gramStart"/>
      <w:r>
        <w:rPr>
          <w:lang w:eastAsia="ja-JP"/>
        </w:rPr>
        <w:t>investigations</w:t>
      </w:r>
      <w:proofErr w:type="gramEnd"/>
      <w:r>
        <w:rPr>
          <w:lang w:eastAsia="ja-JP"/>
        </w:rPr>
        <w:t xml:space="preserve"> and the non-compliances that are detected. Regulators can also publish the</w:t>
      </w:r>
      <w:r w:rsidR="00056FF7">
        <w:rPr>
          <w:lang w:eastAsia="ja-JP"/>
        </w:rPr>
        <w:t xml:space="preserve"> nature of their</w:t>
      </w:r>
      <w:r>
        <w:rPr>
          <w:lang w:eastAsia="ja-JP"/>
        </w:rPr>
        <w:t xml:space="preserve"> regulatory responses such as warning letters, legal notices, penalty notices</w:t>
      </w:r>
      <w:r w:rsidR="00041AE1">
        <w:rPr>
          <w:lang w:eastAsia="ja-JP"/>
        </w:rPr>
        <w:t xml:space="preserve"> and</w:t>
      </w:r>
      <w:r>
        <w:rPr>
          <w:lang w:eastAsia="ja-JP"/>
        </w:rPr>
        <w:t xml:space="preserve"> prosecutions. Industry actions</w:t>
      </w:r>
      <w:r w:rsidR="008C75F0">
        <w:rPr>
          <w:lang w:eastAsia="ja-JP"/>
        </w:rPr>
        <w:t>,</w:t>
      </w:r>
      <w:r>
        <w:rPr>
          <w:lang w:eastAsia="ja-JP"/>
        </w:rPr>
        <w:t xml:space="preserve"> such as corrective and mitigating actions that are taken </w:t>
      </w:r>
      <w:r w:rsidR="00B62D6F">
        <w:rPr>
          <w:lang w:eastAsia="ja-JP"/>
        </w:rPr>
        <w:t>in response to</w:t>
      </w:r>
      <w:r>
        <w:rPr>
          <w:lang w:eastAsia="ja-JP"/>
        </w:rPr>
        <w:t xml:space="preserve"> these non-compliances</w:t>
      </w:r>
      <w:r w:rsidR="008C75F0">
        <w:rPr>
          <w:lang w:eastAsia="ja-JP"/>
        </w:rPr>
        <w:t>,</w:t>
      </w:r>
      <w:r w:rsidR="00EE08C4">
        <w:rPr>
          <w:lang w:eastAsia="ja-JP"/>
        </w:rPr>
        <w:t xml:space="preserve"> </w:t>
      </w:r>
      <w:r>
        <w:rPr>
          <w:lang w:eastAsia="ja-JP"/>
        </w:rPr>
        <w:t>can also be published.</w:t>
      </w:r>
    </w:p>
    <w:p w14:paraId="4FD50DBF" w14:textId="254F5A16" w:rsidR="00DF6FFD" w:rsidRDefault="00DF6FFD" w:rsidP="00DF6FFD">
      <w:pPr>
        <w:rPr>
          <w:lang w:eastAsia="ja-JP"/>
        </w:rPr>
      </w:pPr>
      <w:r>
        <w:rPr>
          <w:lang w:eastAsia="ja-JP"/>
        </w:rPr>
        <w:t xml:space="preserve">The inspector-general has, in previous reviews, made observations and recommendations regarding the need for the department to move to a more rigorous and genuine proportionate response model (see </w:t>
      </w:r>
      <w:r w:rsidRPr="008C75F0">
        <w:rPr>
          <w:rStyle w:val="Emphasis"/>
        </w:rPr>
        <w:t>Livestock export permit systems and processes</w:t>
      </w:r>
      <w:r>
        <w:rPr>
          <w:lang w:eastAsia="ja-JP"/>
        </w:rPr>
        <w:t xml:space="preserve">, </w:t>
      </w:r>
      <w:r w:rsidRPr="008C75F0">
        <w:rPr>
          <w:rStyle w:val="Emphasis"/>
        </w:rPr>
        <w:t>Livestock export licences and approved arrangements</w:t>
      </w:r>
      <w:r>
        <w:rPr>
          <w:lang w:eastAsia="ja-JP"/>
        </w:rPr>
        <w:t xml:space="preserve"> and </w:t>
      </w:r>
      <w:r w:rsidRPr="008C75F0">
        <w:rPr>
          <w:rStyle w:val="Emphasis"/>
        </w:rPr>
        <w:t>Review of the Exporter Supply Chain Assurance System</w:t>
      </w:r>
      <w:r>
        <w:rPr>
          <w:lang w:eastAsia="ja-JP"/>
        </w:rPr>
        <w:t>). Many of the concerns stakeholders have raised with the inspector-general relating to transparency and reporting can be attributed to a root cause of a lack of trust and confidence that the department is detecting non-compliance effectively, and taking proportionate regulatory action, including strong enforcement action where warranted.</w:t>
      </w:r>
    </w:p>
    <w:p w14:paraId="3B7D3CF1" w14:textId="1EA7F3B1" w:rsidR="00DF6FFD" w:rsidRDefault="00DF6FFD" w:rsidP="00DF6FFD">
      <w:pPr>
        <w:rPr>
          <w:lang w:eastAsia="ja-JP"/>
        </w:rPr>
      </w:pPr>
      <w:r>
        <w:rPr>
          <w:lang w:eastAsia="ja-JP"/>
        </w:rPr>
        <w:t xml:space="preserve">As the department addresses the inspector-general’s earlier recommendations on a proportionate response model </w:t>
      </w:r>
      <w:r w:rsidRPr="00DF6FFD">
        <w:rPr>
          <w:lang w:eastAsia="ja-JP"/>
        </w:rPr>
        <w:t>(</w:t>
      </w:r>
      <w:r w:rsidRPr="00F93ECD">
        <w:rPr>
          <w:rStyle w:val="Emphasis"/>
          <w:lang w:eastAsia="ja-JP"/>
        </w:rPr>
        <w:t>Review of the Exporter Supply Chain Assurance System</w:t>
      </w:r>
      <w:r w:rsidRPr="00F93ECD">
        <w:rPr>
          <w:lang w:eastAsia="ja-JP"/>
        </w:rPr>
        <w:t>, recommendation 8</w:t>
      </w:r>
      <w:r>
        <w:rPr>
          <w:lang w:eastAsia="ja-JP"/>
        </w:rPr>
        <w:t>) it should ensure that opportunities to appropriately publish this information are taken. Much of the interest, pursuit of FOI, and speculation on previous IO reports and images that might demonstrate non-compliance, may not occur if the department was transparent on non-compliances detected, and, importantly, firm but fair proportionate action</w:t>
      </w:r>
      <w:r w:rsidR="00474909">
        <w:rPr>
          <w:lang w:eastAsia="ja-JP"/>
        </w:rPr>
        <w:t xml:space="preserve"> was</w:t>
      </w:r>
      <w:r>
        <w:rPr>
          <w:lang w:eastAsia="ja-JP"/>
        </w:rPr>
        <w:t xml:space="preserve"> being taken. That is, </w:t>
      </w:r>
      <w:r w:rsidR="00B02E2B">
        <w:rPr>
          <w:lang w:eastAsia="ja-JP"/>
        </w:rPr>
        <w:t xml:space="preserve">that stakeholders can see </w:t>
      </w:r>
      <w:r>
        <w:rPr>
          <w:lang w:eastAsia="ja-JP"/>
        </w:rPr>
        <w:t>there is a clear connection between an unacceptable incident and a consequence. The department should provide an annual summary report that details these activities in future.</w:t>
      </w:r>
    </w:p>
    <w:p w14:paraId="4E97BA3F" w14:textId="77777777" w:rsidR="00DF6FFD" w:rsidRDefault="00DF6FFD" w:rsidP="00DF6FFD">
      <w:pPr>
        <w:pStyle w:val="BoxHeading"/>
        <w:rPr>
          <w:lang w:eastAsia="ja-JP"/>
        </w:rPr>
      </w:pPr>
      <w:r>
        <w:rPr>
          <w:lang w:eastAsia="ja-JP"/>
        </w:rPr>
        <w:t>Recommendation 3</w:t>
      </w:r>
    </w:p>
    <w:p w14:paraId="2DD0F4C7" w14:textId="77777777" w:rsidR="00DF6FFD" w:rsidRDefault="00DF6FFD" w:rsidP="00DF6FFD">
      <w:pPr>
        <w:pStyle w:val="BoxText"/>
        <w:rPr>
          <w:lang w:eastAsia="ja-JP"/>
        </w:rPr>
      </w:pPr>
      <w:bookmarkStart w:id="37" w:name="_Hlk129170102"/>
      <w:r>
        <w:rPr>
          <w:lang w:eastAsia="ja-JP"/>
        </w:rPr>
        <w:t>The department should develop an annual regulatory activity report and publish it on its website.</w:t>
      </w:r>
    </w:p>
    <w:bookmarkEnd w:id="37"/>
    <w:p w14:paraId="444B53BB" w14:textId="77777777" w:rsidR="00DF6FFD" w:rsidRDefault="00DF6FFD" w:rsidP="00DF6FFD">
      <w:pPr>
        <w:rPr>
          <w:lang w:eastAsia="ja-JP"/>
        </w:rPr>
      </w:pPr>
      <w:r>
        <w:rPr>
          <w:lang w:eastAsia="ja-JP"/>
        </w:rPr>
        <w:lastRenderedPageBreak/>
        <w:t>Submissions to this review have criticised the use of summary reports for IO voyages, including the exclusion from publication of images or video footage.</w:t>
      </w:r>
    </w:p>
    <w:p w14:paraId="18D7F3D2" w14:textId="77777777" w:rsidR="00DF6FFD" w:rsidRDefault="2574010C" w:rsidP="00DF6FFD">
      <w:pPr>
        <w:pStyle w:val="Quote"/>
        <w:rPr>
          <w:lang w:eastAsia="ja-JP"/>
        </w:rPr>
      </w:pPr>
      <w:r w:rsidRPr="4770B6D3">
        <w:rPr>
          <w:lang w:eastAsia="ja-JP"/>
        </w:rPr>
        <w:t>The current approach to preparation of summaries undermines the purpose of stakeholder engagement, which is to strengthen protection for animal welfare and increase public confidence. In the Committee’s submission, proper engagement with stakeholders requires that the full reports of the IOs (without redaction, other than in relation to the identity of the IOs), and any video footage, are made publicly available (Law Council of Australia 2022).</w:t>
      </w:r>
    </w:p>
    <w:p w14:paraId="2FB16C53" w14:textId="77777777" w:rsidR="00DF6FFD" w:rsidRDefault="2574010C" w:rsidP="00DF6FFD">
      <w:pPr>
        <w:pStyle w:val="Quote"/>
        <w:rPr>
          <w:lang w:eastAsia="ja-JP"/>
        </w:rPr>
      </w:pPr>
      <w:r w:rsidRPr="4770B6D3">
        <w:rPr>
          <w:lang w:eastAsia="ja-JP"/>
        </w:rPr>
        <w:t>The Department should publish the process or guideline it applies to editing IO reports, and specifically outline what can and cannot be edited from IO reports that are summarised and published on its site. Ideally the only information that should be modified is the redaction of any private information (RSPCA 2022).</w:t>
      </w:r>
    </w:p>
    <w:p w14:paraId="449565FF" w14:textId="77777777" w:rsidR="00DF6FFD" w:rsidRDefault="00DF6FFD" w:rsidP="00DF6FFD">
      <w:pPr>
        <w:pStyle w:val="Quote"/>
        <w:rPr>
          <w:lang w:eastAsia="ja-JP"/>
        </w:rPr>
      </w:pPr>
      <w:r>
        <w:rPr>
          <w:lang w:eastAsia="ja-JP"/>
        </w:rPr>
        <w:t>We remain concerned about the way the Department processes and summarises reports of Independent Observers. Comparative analysis between full observer reports (obtained under FOI) and relevant summary reports produced by the Department often reveals factual discrepancies and high levels of sanitisation regarding incidents and onboard conditions (Australian Alliance for Animals 2022).</w:t>
      </w:r>
    </w:p>
    <w:p w14:paraId="3276CA2B" w14:textId="1DCCED62" w:rsidR="00DF6FFD" w:rsidRPr="00A8540F" w:rsidRDefault="00DF6FFD" w:rsidP="00DF6FFD">
      <w:r>
        <w:t>As discussed above</w:t>
      </w:r>
      <w:r w:rsidR="00C65EF1">
        <w:t>,</w:t>
      </w:r>
      <w:r>
        <w:t xml:space="preserve"> the inspector-general considers that the concerns raised by stakeholders are primarily driven by a lack</w:t>
      </w:r>
      <w:r w:rsidR="00B62D6F">
        <w:t xml:space="preserve"> of</w:t>
      </w:r>
      <w:r>
        <w:t xml:space="preserve"> trust and confidence that the department is clearly identifying non-compliance or poor practice and taking effective action in response. The stakeholder demands for the full publication of IO reports, and FOI requests for other information, is unlikely to abate unless this root cause is addressed by a track record that demonstrates effective regulatory practice.</w:t>
      </w:r>
    </w:p>
    <w:p w14:paraId="1236A7FE" w14:textId="5FA85150" w:rsidR="00DF6FFD" w:rsidRDefault="00DF6FFD" w:rsidP="00DF6FFD">
      <w:pPr>
        <w:rPr>
          <w:lang w:eastAsia="ja-JP"/>
        </w:rPr>
      </w:pPr>
      <w:r>
        <w:rPr>
          <w:lang w:eastAsia="ja-JP"/>
        </w:rPr>
        <w:t xml:space="preserve">The inspector-general considers that IO summary reports should become outcome reports, </w:t>
      </w:r>
      <w:proofErr w:type="gramStart"/>
      <w:r>
        <w:rPr>
          <w:lang w:eastAsia="ja-JP"/>
        </w:rPr>
        <w:t>similar to</w:t>
      </w:r>
      <w:proofErr w:type="gramEnd"/>
      <w:r>
        <w:rPr>
          <w:lang w:eastAsia="ja-JP"/>
        </w:rPr>
        <w:t xml:space="preserve"> the ESCAS regulatory performance reports. This</w:t>
      </w:r>
      <w:r w:rsidR="00240DC8">
        <w:rPr>
          <w:lang w:eastAsia="ja-JP"/>
        </w:rPr>
        <w:t xml:space="preserve"> </w:t>
      </w:r>
      <w:r w:rsidR="00AD41C6">
        <w:rPr>
          <w:lang w:eastAsia="ja-JP"/>
        </w:rPr>
        <w:t>is</w:t>
      </w:r>
      <w:r>
        <w:rPr>
          <w:lang w:eastAsia="ja-JP"/>
        </w:rPr>
        <w:t xml:space="preserve"> predicated on the department giving effect to a genuine proportionate regulatory response model. If this is in place the department should report on animal welfare issues and on non-compliance detected and proportionate action taken, including sanctions. There is arguably less public interest in the evidence that underpins regulatory action against a non-compliance if </w:t>
      </w:r>
      <w:proofErr w:type="gramStart"/>
      <w:r>
        <w:rPr>
          <w:lang w:eastAsia="ja-JP"/>
        </w:rPr>
        <w:t>it is clear that action</w:t>
      </w:r>
      <w:proofErr w:type="gramEnd"/>
      <w:r>
        <w:rPr>
          <w:lang w:eastAsia="ja-JP"/>
        </w:rPr>
        <w:t xml:space="preserve"> has been taken. In addition to clearer non-compliance information, any departmental actions required during or following the voyage should be included.</w:t>
      </w:r>
    </w:p>
    <w:p w14:paraId="55D782FB" w14:textId="6810E113" w:rsidR="00DF6FFD" w:rsidRDefault="00DF6FFD" w:rsidP="00DF6FFD">
      <w:pPr>
        <w:rPr>
          <w:lang w:eastAsia="ja-JP"/>
        </w:rPr>
      </w:pPr>
      <w:r>
        <w:rPr>
          <w:lang w:eastAsia="ja-JP"/>
        </w:rPr>
        <w:t>Additionally, not all livestock health and welfare issues that may be identified on a voyage are non-compliances, and some non-compliances may have significant mitigating factors. These health and welfare issues are usually being actively managed by the exporter at the time and may result in improved practices by the exporter in future. The actions and responses of exporters (including their AAVs and stockpersons) to these issues should also be described in the outcome report as they can provide important context, particularly where proactive positive action is demonstrated. This may also improve stakeholder confidence in the management of livestock health and welfare.</w:t>
      </w:r>
    </w:p>
    <w:p w14:paraId="47C8AA81" w14:textId="02979DCD" w:rsidR="00DF6FFD" w:rsidRDefault="2574010C" w:rsidP="00DF6FFD">
      <w:pPr>
        <w:rPr>
          <w:lang w:eastAsia="ja-JP"/>
        </w:rPr>
      </w:pPr>
      <w:r w:rsidRPr="4770B6D3">
        <w:rPr>
          <w:lang w:eastAsia="ja-JP"/>
        </w:rPr>
        <w:t xml:space="preserve">Each IO </w:t>
      </w:r>
      <w:r w:rsidR="283AB63F" w:rsidRPr="4770B6D3">
        <w:rPr>
          <w:lang w:eastAsia="ja-JP"/>
        </w:rPr>
        <w:t xml:space="preserve">summary </w:t>
      </w:r>
      <w:r w:rsidRPr="4770B6D3">
        <w:rPr>
          <w:lang w:eastAsia="ja-JP"/>
        </w:rPr>
        <w:t>report relates to a vessel</w:t>
      </w:r>
      <w:r w:rsidR="4D345A33" w:rsidRPr="4770B6D3">
        <w:rPr>
          <w:lang w:eastAsia="ja-JP"/>
        </w:rPr>
        <w:t>,</w:t>
      </w:r>
      <w:r w:rsidRPr="4770B6D3">
        <w:rPr>
          <w:lang w:eastAsia="ja-JP"/>
        </w:rPr>
        <w:t xml:space="preserve"> with any non-compliance or management issues relating to an exporter. As there may be more than one exporter involved with a voyage it is important that both the vessel and the exporter(s) are identified in the reports.</w:t>
      </w:r>
    </w:p>
    <w:p w14:paraId="7841F01A" w14:textId="0FD7BB50" w:rsidR="00DF6FFD" w:rsidRDefault="00DF6FFD" w:rsidP="00DF6FFD">
      <w:pPr>
        <w:pStyle w:val="BoxHeading"/>
        <w:rPr>
          <w:lang w:eastAsia="ja-JP"/>
        </w:rPr>
      </w:pPr>
      <w:r>
        <w:rPr>
          <w:lang w:eastAsia="ja-JP"/>
        </w:rPr>
        <w:lastRenderedPageBreak/>
        <w:t xml:space="preserve">Recommendation </w:t>
      </w:r>
      <w:r w:rsidR="004307EC">
        <w:rPr>
          <w:lang w:eastAsia="ja-JP"/>
        </w:rPr>
        <w:t>4</w:t>
      </w:r>
    </w:p>
    <w:p w14:paraId="03B17D45" w14:textId="77777777" w:rsidR="00235B1E" w:rsidRDefault="00235B1E" w:rsidP="00235B1E">
      <w:pPr>
        <w:pStyle w:val="BoxText"/>
        <w:rPr>
          <w:lang w:eastAsia="ja-JP"/>
        </w:rPr>
      </w:pPr>
      <w:r w:rsidRPr="4770B6D3">
        <w:rPr>
          <w:lang w:eastAsia="ja-JP"/>
        </w:rPr>
        <w:t>The department should reformat summary independent observer reports to become outcome reports. The reports need to include all non-compliance against ASEL</w:t>
      </w:r>
      <w:r>
        <w:rPr>
          <w:lang w:eastAsia="ja-JP"/>
        </w:rPr>
        <w:t>,</w:t>
      </w:r>
      <w:r w:rsidRPr="4770B6D3">
        <w:rPr>
          <w:lang w:eastAsia="ja-JP"/>
        </w:rPr>
        <w:t xml:space="preserve"> observed and verified mortalities, exporter mitigating actions and departmental regulatory actions.</w:t>
      </w:r>
    </w:p>
    <w:p w14:paraId="18681F3B" w14:textId="5CEAB379" w:rsidR="00DF6FFD" w:rsidRDefault="2574010C" w:rsidP="00DF6FFD">
      <w:pPr>
        <w:rPr>
          <w:lang w:eastAsia="ja-JP"/>
        </w:rPr>
      </w:pPr>
      <w:r w:rsidRPr="4770B6D3">
        <w:rPr>
          <w:lang w:eastAsia="ja-JP"/>
        </w:rPr>
        <w:t>Currently the ESCAS and mortality reports do not provide any</w:t>
      </w:r>
      <w:r w:rsidR="001F6ED1">
        <w:rPr>
          <w:lang w:eastAsia="ja-JP"/>
        </w:rPr>
        <w:t xml:space="preserve"> available</w:t>
      </w:r>
      <w:r w:rsidRPr="4770B6D3">
        <w:rPr>
          <w:lang w:eastAsia="ja-JP"/>
        </w:rPr>
        <w:t xml:space="preserve"> images. The department considers images from ESCAS investigations to be outside accepted community standards.</w:t>
      </w:r>
    </w:p>
    <w:p w14:paraId="6D82CD3C" w14:textId="77777777" w:rsidR="00DF6FFD" w:rsidRDefault="00DF6FFD" w:rsidP="00DF6FFD">
      <w:pPr>
        <w:pStyle w:val="Quote"/>
      </w:pPr>
      <w:r w:rsidRPr="00AC5B3B">
        <w:t>We have a responsibility to everyone who may access this information, including children. We want to ensure they do not see images they might find upsetting or disturbing</w:t>
      </w:r>
      <w:r>
        <w:t xml:space="preserve"> (DAFF 2022b)</w:t>
      </w:r>
      <w:r w:rsidRPr="00AC5B3B">
        <w:t>.</w:t>
      </w:r>
    </w:p>
    <w:p w14:paraId="4E08567B" w14:textId="57E0AE11" w:rsidR="00DF6FFD" w:rsidRDefault="00DF6FFD" w:rsidP="00DF6FFD">
      <w:pPr>
        <w:rPr>
          <w:lang w:eastAsia="ja-JP"/>
        </w:rPr>
      </w:pPr>
      <w:r>
        <w:rPr>
          <w:lang w:eastAsia="ja-JP"/>
        </w:rPr>
        <w:t xml:space="preserve">The inspector-general heard that exporters are opposed to images from ESCAS investigations being published as they could be used negatively against the industry. </w:t>
      </w:r>
      <w:r w:rsidR="009B65D0">
        <w:rPr>
          <w:lang w:eastAsia="ja-JP"/>
        </w:rPr>
        <w:t>M</w:t>
      </w:r>
      <w:r>
        <w:rPr>
          <w:lang w:eastAsia="ja-JP"/>
        </w:rPr>
        <w:t>any of the images that are used in ESCAS investigations are provided by third parties. Animal welfare stakeholders argue that:</w:t>
      </w:r>
    </w:p>
    <w:p w14:paraId="30EA84E0" w14:textId="7E89ED28" w:rsidR="00DF6FFD" w:rsidRDefault="00DF6FFD" w:rsidP="00DF6FFD">
      <w:pPr>
        <w:pStyle w:val="Quote"/>
        <w:rPr>
          <w:lang w:eastAsia="ja-JP"/>
        </w:rPr>
      </w:pPr>
      <w:r>
        <w:rPr>
          <w:lang w:eastAsia="ja-JP"/>
        </w:rPr>
        <w:t xml:space="preserve">Transparency and objectivity </w:t>
      </w:r>
      <w:proofErr w:type="gramStart"/>
      <w:r>
        <w:rPr>
          <w:lang w:eastAsia="ja-JP"/>
        </w:rPr>
        <w:t>is</w:t>
      </w:r>
      <w:proofErr w:type="gramEnd"/>
      <w:r>
        <w:rPr>
          <w:lang w:eastAsia="ja-JP"/>
        </w:rPr>
        <w:t xml:space="preserve"> a responsibility of government and its departments, as well as in public interest and vital to the trade’s social licence. Selectively deciding which images and footage to share publicly lacks transparency and objectivity</w:t>
      </w:r>
      <w:r w:rsidR="004307EC" w:rsidRPr="004307EC">
        <w:t xml:space="preserve"> </w:t>
      </w:r>
      <w:r w:rsidR="004307EC" w:rsidRPr="004307EC">
        <w:rPr>
          <w:lang w:eastAsia="ja-JP"/>
        </w:rPr>
        <w:t>and can be perceived as masking the reality of an inherently cruel trade</w:t>
      </w:r>
      <w:r>
        <w:rPr>
          <w:lang w:eastAsia="ja-JP"/>
        </w:rPr>
        <w:t xml:space="preserve"> (RSPCA 2022).</w:t>
      </w:r>
    </w:p>
    <w:p w14:paraId="2FF85733" w14:textId="5B5D43EF" w:rsidR="00DF6FFD" w:rsidRDefault="00DF6FFD" w:rsidP="00DF6FFD">
      <w:pPr>
        <w:rPr>
          <w:lang w:eastAsia="ja-JP"/>
        </w:rPr>
      </w:pPr>
      <w:r>
        <w:rPr>
          <w:lang w:eastAsia="ja-JP"/>
        </w:rPr>
        <w:t xml:space="preserve">The inspector-general considers that the department’s </w:t>
      </w:r>
      <w:r w:rsidR="009B65D0">
        <w:rPr>
          <w:lang w:eastAsia="ja-JP"/>
        </w:rPr>
        <w:t>approach to</w:t>
      </w:r>
      <w:r>
        <w:rPr>
          <w:lang w:eastAsia="ja-JP"/>
        </w:rPr>
        <w:t xml:space="preserve"> publishing images </w:t>
      </w:r>
      <w:r w:rsidR="009B65D0">
        <w:rPr>
          <w:lang w:eastAsia="ja-JP"/>
        </w:rPr>
        <w:t>is</w:t>
      </w:r>
      <w:r>
        <w:rPr>
          <w:lang w:eastAsia="ja-JP"/>
        </w:rPr>
        <w:t xml:space="preserve"> inconsistent. As discussed above the inspector-general considers that the root cause of concern relating to the publication</w:t>
      </w:r>
      <w:r w:rsidR="009B65D0">
        <w:rPr>
          <w:lang w:eastAsia="ja-JP"/>
        </w:rPr>
        <w:t xml:space="preserve"> of,</w:t>
      </w:r>
      <w:r>
        <w:rPr>
          <w:lang w:eastAsia="ja-JP"/>
        </w:rPr>
        <w:t xml:space="preserve"> or access to</w:t>
      </w:r>
      <w:r w:rsidR="009B65D0">
        <w:rPr>
          <w:lang w:eastAsia="ja-JP"/>
        </w:rPr>
        <w:t>,</w:t>
      </w:r>
      <w:r>
        <w:rPr>
          <w:lang w:eastAsia="ja-JP"/>
        </w:rPr>
        <w:t xml:space="preserve"> images is because of a lack of trust and confidence that the department is taking appropriate action against non-compliance. Currently there is little counterfactual evidence that the department can provide. The inspector-general has discussed this issue and made recommendations in this regard both in this review, and previously in </w:t>
      </w:r>
      <w:r w:rsidRPr="00A32F30">
        <w:rPr>
          <w:rStyle w:val="Emphasis"/>
        </w:rPr>
        <w:t>Livestock export permit systems and processes</w:t>
      </w:r>
      <w:r>
        <w:rPr>
          <w:lang w:eastAsia="ja-JP"/>
        </w:rPr>
        <w:t xml:space="preserve"> and </w:t>
      </w:r>
      <w:r w:rsidRPr="00A32F30">
        <w:rPr>
          <w:rStyle w:val="Emphasis"/>
        </w:rPr>
        <w:t>Livestock export licences and approved arrangements</w:t>
      </w:r>
      <w:r>
        <w:rPr>
          <w:lang w:eastAsia="ja-JP"/>
        </w:rPr>
        <w:t>.</w:t>
      </w:r>
    </w:p>
    <w:p w14:paraId="6536007D" w14:textId="5CC698CD" w:rsidR="00DF6FFD" w:rsidRDefault="00DF6FFD" w:rsidP="00DF6FFD">
      <w:pPr>
        <w:rPr>
          <w:lang w:eastAsia="ja-JP"/>
        </w:rPr>
      </w:pPr>
      <w:r>
        <w:rPr>
          <w:lang w:eastAsia="ja-JP"/>
        </w:rPr>
        <w:t>The department should develop a considered position on the publication or release of images. Once again</w:t>
      </w:r>
      <w:r w:rsidR="00E52B82">
        <w:rPr>
          <w:lang w:eastAsia="ja-JP"/>
        </w:rPr>
        <w:t>,</w:t>
      </w:r>
      <w:r>
        <w:rPr>
          <w:lang w:eastAsia="ja-JP"/>
        </w:rPr>
        <w:t xml:space="preserve"> the department would have a sounder basis on which to base such a position if it was confident that the detection of non-compliance and regulatory response</w:t>
      </w:r>
      <w:r w:rsidR="00787D0E">
        <w:rPr>
          <w:lang w:eastAsia="ja-JP"/>
        </w:rPr>
        <w:t xml:space="preserve"> was clear, and that</w:t>
      </w:r>
      <w:r>
        <w:rPr>
          <w:lang w:eastAsia="ja-JP"/>
        </w:rPr>
        <w:t xml:space="preserve"> it would meet community expectations. If this was the case the department may consider whether publishing images that illustrated where an unacceptable animal health or welfare incident had been identified accompanied by the regulatory response the department took, and the rationale for it, was of benefit. Benefits could include the deterrence value for other industry participants and increased community confidence that the regulator was on the job and effectively sanctioning poor performers.</w:t>
      </w:r>
    </w:p>
    <w:p w14:paraId="63BDA7C1" w14:textId="69F6547F" w:rsidR="00DF6FFD" w:rsidRDefault="00414642" w:rsidP="00DF6FFD">
      <w:pPr>
        <w:rPr>
          <w:lang w:eastAsia="ja-JP"/>
        </w:rPr>
      </w:pPr>
      <w:r>
        <w:rPr>
          <w:lang w:eastAsia="ja-JP"/>
        </w:rPr>
        <w:t>T</w:t>
      </w:r>
      <w:r w:rsidR="00DF6FFD">
        <w:rPr>
          <w:lang w:eastAsia="ja-JP"/>
        </w:rPr>
        <w:t xml:space="preserve">here are </w:t>
      </w:r>
      <w:proofErr w:type="gramStart"/>
      <w:r w:rsidR="00DF6FFD">
        <w:rPr>
          <w:lang w:eastAsia="ja-JP"/>
        </w:rPr>
        <w:t>a number of</w:t>
      </w:r>
      <w:proofErr w:type="gramEnd"/>
      <w:r w:rsidR="00DF6FFD">
        <w:rPr>
          <w:lang w:eastAsia="ja-JP"/>
        </w:rPr>
        <w:t xml:space="preserve"> inconsistencies within and between the department’s </w:t>
      </w:r>
      <w:r>
        <w:rPr>
          <w:lang w:eastAsia="ja-JP"/>
        </w:rPr>
        <w:t xml:space="preserve">regular </w:t>
      </w:r>
      <w:r w:rsidR="00DF6FFD">
        <w:rPr>
          <w:lang w:eastAsia="ja-JP"/>
        </w:rPr>
        <w:t xml:space="preserve">reports, as illustrated in </w:t>
      </w:r>
      <w:r w:rsidR="00DF6FFD">
        <w:rPr>
          <w:color w:val="2B579A"/>
          <w:shd w:val="clear" w:color="auto" w:fill="E6E6E6"/>
          <w:lang w:eastAsia="ja-JP"/>
        </w:rPr>
        <w:fldChar w:fldCharType="begin"/>
      </w:r>
      <w:r w:rsidR="00DF6FFD">
        <w:rPr>
          <w:lang w:eastAsia="ja-JP"/>
        </w:rPr>
        <w:instrText xml:space="preserve"> REF _Ref126154030 \h </w:instrText>
      </w:r>
      <w:r w:rsidR="00DF6FFD">
        <w:rPr>
          <w:color w:val="2B579A"/>
          <w:shd w:val="clear" w:color="auto" w:fill="E6E6E6"/>
          <w:lang w:eastAsia="ja-JP"/>
        </w:rPr>
      </w:r>
      <w:r w:rsidR="00DF6FFD">
        <w:rPr>
          <w:color w:val="2B579A"/>
          <w:shd w:val="clear" w:color="auto" w:fill="E6E6E6"/>
          <w:lang w:eastAsia="ja-JP"/>
        </w:rPr>
        <w:fldChar w:fldCharType="separate"/>
      </w:r>
      <w:r w:rsidR="004A2435">
        <w:t xml:space="preserve">Table </w:t>
      </w:r>
      <w:r w:rsidR="004A2435">
        <w:rPr>
          <w:noProof/>
        </w:rPr>
        <w:t>1</w:t>
      </w:r>
      <w:r w:rsidR="00DF6FFD">
        <w:rPr>
          <w:color w:val="2B579A"/>
          <w:shd w:val="clear" w:color="auto" w:fill="E6E6E6"/>
          <w:lang w:eastAsia="ja-JP"/>
        </w:rPr>
        <w:fldChar w:fldCharType="end"/>
      </w:r>
      <w:r w:rsidR="00DF6FFD">
        <w:rPr>
          <w:lang w:eastAsia="ja-JP"/>
        </w:rPr>
        <w:t xml:space="preserve">. </w:t>
      </w:r>
      <w:r w:rsidR="003929BA">
        <w:rPr>
          <w:lang w:eastAsia="ja-JP"/>
        </w:rPr>
        <w:t>For example, t</w:t>
      </w:r>
      <w:r w:rsidR="00DF6FFD">
        <w:rPr>
          <w:lang w:eastAsia="ja-JP"/>
        </w:rPr>
        <w:t>he naming of entities is different for each report</w:t>
      </w:r>
      <w:r w:rsidR="003929BA">
        <w:rPr>
          <w:lang w:eastAsia="ja-JP"/>
        </w:rPr>
        <w:t>;</w:t>
      </w:r>
      <w:r w:rsidR="00DF6FFD">
        <w:rPr>
          <w:lang w:eastAsia="ja-JP"/>
        </w:rPr>
        <w:t xml:space="preserve"> </w:t>
      </w:r>
      <w:r w:rsidR="003929BA">
        <w:rPr>
          <w:lang w:eastAsia="ja-JP"/>
        </w:rPr>
        <w:t>i</w:t>
      </w:r>
      <w:r w:rsidR="00DF6FFD">
        <w:rPr>
          <w:lang w:eastAsia="ja-JP"/>
        </w:rPr>
        <w:t>mages are included in IO summary reports but nowhere else</w:t>
      </w:r>
      <w:r w:rsidR="003929BA">
        <w:rPr>
          <w:lang w:eastAsia="ja-JP"/>
        </w:rPr>
        <w:t>;</w:t>
      </w:r>
      <w:r w:rsidR="00DF6FFD">
        <w:rPr>
          <w:lang w:eastAsia="ja-JP"/>
        </w:rPr>
        <w:t xml:space="preserve"> </w:t>
      </w:r>
      <w:r w:rsidR="003929BA">
        <w:rPr>
          <w:lang w:eastAsia="ja-JP"/>
        </w:rPr>
        <w:t>t</w:t>
      </w:r>
      <w:r w:rsidR="00DF6FFD">
        <w:rPr>
          <w:lang w:eastAsia="ja-JP"/>
        </w:rPr>
        <w:t>he frequency of publishing for all reports is different</w:t>
      </w:r>
      <w:r w:rsidR="00132263">
        <w:rPr>
          <w:lang w:eastAsia="ja-JP"/>
        </w:rPr>
        <w:t>;</w:t>
      </w:r>
      <w:r w:rsidR="00DF6FFD">
        <w:rPr>
          <w:lang w:eastAsia="ja-JP"/>
        </w:rPr>
        <w:t xml:space="preserve"> </w:t>
      </w:r>
      <w:r w:rsidR="00132263">
        <w:rPr>
          <w:lang w:eastAsia="ja-JP"/>
        </w:rPr>
        <w:t>and t</w:t>
      </w:r>
      <w:r w:rsidR="00DF6FFD">
        <w:rPr>
          <w:lang w:eastAsia="ja-JP"/>
        </w:rPr>
        <w:t xml:space="preserve">he reporting of </w:t>
      </w:r>
      <w:bookmarkStart w:id="38" w:name="_Hlk129165599"/>
      <w:r w:rsidR="00DF6FFD">
        <w:rPr>
          <w:lang w:eastAsia="ja-JP"/>
        </w:rPr>
        <w:t>non-compliance and regulatory action taken</w:t>
      </w:r>
      <w:bookmarkEnd w:id="38"/>
      <w:r w:rsidR="00DF6FFD">
        <w:rPr>
          <w:lang w:eastAsia="ja-JP"/>
        </w:rPr>
        <w:t xml:space="preserve"> is different for each report.</w:t>
      </w:r>
    </w:p>
    <w:p w14:paraId="7DD989FA" w14:textId="1C312299" w:rsidR="00DF6FFD" w:rsidRDefault="00DF6FFD" w:rsidP="00DF6FFD">
      <w:pPr>
        <w:pStyle w:val="Caption"/>
        <w:rPr>
          <w:lang w:eastAsia="ja-JP"/>
        </w:rPr>
      </w:pPr>
      <w:bookmarkStart w:id="39" w:name="_Ref126154030"/>
      <w:bookmarkStart w:id="40" w:name="_Toc130901378"/>
      <w:r>
        <w:lastRenderedPageBreak/>
        <w:t xml:space="preserve">Table </w:t>
      </w:r>
      <w:fldSimple w:instr=" SEQ Table \* ARABIC ">
        <w:r w:rsidR="004A2435">
          <w:rPr>
            <w:noProof/>
          </w:rPr>
          <w:t>1</w:t>
        </w:r>
      </w:fldSimple>
      <w:bookmarkEnd w:id="39"/>
      <w:r>
        <w:t xml:space="preserve"> Summary of departmental reports</w:t>
      </w:r>
      <w:bookmarkEnd w:id="4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043"/>
        <w:gridCol w:w="1055"/>
        <w:gridCol w:w="1239"/>
        <w:gridCol w:w="1460"/>
        <w:gridCol w:w="990"/>
        <w:gridCol w:w="930"/>
        <w:gridCol w:w="1115"/>
      </w:tblGrid>
      <w:tr w:rsidR="00DF6FFD" w14:paraId="7C6B789D" w14:textId="77777777" w:rsidTr="04852FD9">
        <w:trPr>
          <w:tblHeader/>
        </w:trPr>
        <w:tc>
          <w:tcPr>
            <w:tcW w:w="0" w:type="auto"/>
            <w:tcBorders>
              <w:top w:val="single" w:sz="4" w:space="0" w:color="auto"/>
              <w:bottom w:val="single" w:sz="4" w:space="0" w:color="auto"/>
            </w:tcBorders>
          </w:tcPr>
          <w:p w14:paraId="1D8F271F" w14:textId="77777777" w:rsidR="00DF6FFD" w:rsidRDefault="00DF6FFD">
            <w:pPr>
              <w:pStyle w:val="TableHeading"/>
              <w:rPr>
                <w:lang w:eastAsia="ja-JP"/>
              </w:rPr>
            </w:pPr>
            <w:bookmarkStart w:id="41" w:name="Title_1"/>
            <w:bookmarkEnd w:id="41"/>
            <w:r>
              <w:rPr>
                <w:lang w:eastAsia="ja-JP"/>
              </w:rPr>
              <w:t>Report name</w:t>
            </w:r>
          </w:p>
        </w:tc>
        <w:tc>
          <w:tcPr>
            <w:tcW w:w="0" w:type="auto"/>
            <w:tcBorders>
              <w:top w:val="single" w:sz="4" w:space="0" w:color="auto"/>
              <w:bottom w:val="single" w:sz="4" w:space="0" w:color="auto"/>
            </w:tcBorders>
          </w:tcPr>
          <w:p w14:paraId="17DC87F0" w14:textId="77777777" w:rsidR="00DF6FFD" w:rsidRDefault="00DF6FFD">
            <w:pPr>
              <w:pStyle w:val="TableHeading"/>
              <w:rPr>
                <w:lang w:eastAsia="ja-JP"/>
              </w:rPr>
            </w:pPr>
            <w:r>
              <w:rPr>
                <w:lang w:eastAsia="ja-JP"/>
              </w:rPr>
              <w:t>Number</w:t>
            </w:r>
          </w:p>
          <w:p w14:paraId="0257B418" w14:textId="77777777" w:rsidR="00DF6FFD" w:rsidRDefault="00DF6FFD">
            <w:pPr>
              <w:pStyle w:val="TableHeading"/>
              <w:rPr>
                <w:lang w:eastAsia="ja-JP"/>
              </w:rPr>
            </w:pPr>
            <w:r>
              <w:rPr>
                <w:lang w:eastAsia="ja-JP"/>
              </w:rPr>
              <w:t>published</w:t>
            </w:r>
          </w:p>
        </w:tc>
        <w:tc>
          <w:tcPr>
            <w:tcW w:w="0" w:type="auto"/>
            <w:tcBorders>
              <w:top w:val="single" w:sz="4" w:space="0" w:color="auto"/>
              <w:bottom w:val="single" w:sz="4" w:space="0" w:color="auto"/>
            </w:tcBorders>
          </w:tcPr>
          <w:p w14:paraId="79A4AF24" w14:textId="77777777" w:rsidR="00DF6FFD" w:rsidRDefault="00DF6FFD">
            <w:pPr>
              <w:pStyle w:val="TableHeading"/>
              <w:rPr>
                <w:lang w:eastAsia="ja-JP"/>
              </w:rPr>
            </w:pPr>
            <w:r>
              <w:rPr>
                <w:lang w:eastAsia="ja-JP"/>
              </w:rPr>
              <w:t>Published on web</w:t>
            </w:r>
          </w:p>
        </w:tc>
        <w:tc>
          <w:tcPr>
            <w:tcW w:w="0" w:type="auto"/>
            <w:tcBorders>
              <w:top w:val="single" w:sz="4" w:space="0" w:color="auto"/>
              <w:bottom w:val="single" w:sz="4" w:space="0" w:color="auto"/>
            </w:tcBorders>
          </w:tcPr>
          <w:p w14:paraId="3DE001A6" w14:textId="77777777" w:rsidR="00DF6FFD" w:rsidRDefault="00DF6FFD">
            <w:pPr>
              <w:pStyle w:val="TableHeading"/>
              <w:rPr>
                <w:lang w:eastAsia="ja-JP"/>
              </w:rPr>
            </w:pPr>
            <w:r>
              <w:rPr>
                <w:lang w:eastAsia="ja-JP"/>
              </w:rPr>
              <w:t>Frequency</w:t>
            </w:r>
          </w:p>
        </w:tc>
        <w:tc>
          <w:tcPr>
            <w:tcW w:w="0" w:type="auto"/>
            <w:tcBorders>
              <w:top w:val="single" w:sz="4" w:space="0" w:color="auto"/>
              <w:bottom w:val="single" w:sz="4" w:space="0" w:color="auto"/>
            </w:tcBorders>
          </w:tcPr>
          <w:p w14:paraId="55AC1ABD" w14:textId="060E99AE" w:rsidR="00DF6FFD" w:rsidRDefault="2574010C">
            <w:pPr>
              <w:pStyle w:val="TableHeading"/>
              <w:rPr>
                <w:lang w:eastAsia="ja-JP"/>
              </w:rPr>
            </w:pPr>
            <w:r w:rsidRPr="4770B6D3">
              <w:rPr>
                <w:lang w:eastAsia="ja-JP"/>
              </w:rPr>
              <w:t>Full/summary</w:t>
            </w:r>
          </w:p>
        </w:tc>
        <w:tc>
          <w:tcPr>
            <w:tcW w:w="0" w:type="auto"/>
            <w:tcBorders>
              <w:top w:val="single" w:sz="4" w:space="0" w:color="auto"/>
              <w:bottom w:val="single" w:sz="4" w:space="0" w:color="auto"/>
            </w:tcBorders>
          </w:tcPr>
          <w:p w14:paraId="468AB1E8" w14:textId="77777777" w:rsidR="00DF6FFD" w:rsidRDefault="00DF6FFD">
            <w:pPr>
              <w:pStyle w:val="TableHeading"/>
              <w:rPr>
                <w:lang w:eastAsia="ja-JP"/>
              </w:rPr>
            </w:pPr>
            <w:r>
              <w:rPr>
                <w:lang w:eastAsia="ja-JP"/>
              </w:rPr>
              <w:t>Entities named</w:t>
            </w:r>
          </w:p>
        </w:tc>
        <w:tc>
          <w:tcPr>
            <w:tcW w:w="0" w:type="auto"/>
            <w:tcBorders>
              <w:top w:val="single" w:sz="4" w:space="0" w:color="auto"/>
              <w:bottom w:val="single" w:sz="4" w:space="0" w:color="auto"/>
            </w:tcBorders>
          </w:tcPr>
          <w:p w14:paraId="51D7E4AD" w14:textId="77777777" w:rsidR="00DF6FFD" w:rsidRDefault="00DF6FFD">
            <w:pPr>
              <w:pStyle w:val="TableHeading"/>
              <w:rPr>
                <w:lang w:eastAsia="ja-JP"/>
              </w:rPr>
            </w:pPr>
            <w:r>
              <w:rPr>
                <w:lang w:eastAsia="ja-JP"/>
              </w:rPr>
              <w:t>Includes images</w:t>
            </w:r>
          </w:p>
        </w:tc>
        <w:tc>
          <w:tcPr>
            <w:tcW w:w="0" w:type="auto"/>
            <w:tcBorders>
              <w:top w:val="single" w:sz="4" w:space="0" w:color="auto"/>
              <w:bottom w:val="single" w:sz="4" w:space="0" w:color="auto"/>
            </w:tcBorders>
          </w:tcPr>
          <w:p w14:paraId="626CA10E" w14:textId="77777777" w:rsidR="00DF6FFD" w:rsidRDefault="00DF6FFD">
            <w:pPr>
              <w:pStyle w:val="TableHeading"/>
              <w:rPr>
                <w:lang w:eastAsia="ja-JP"/>
              </w:rPr>
            </w:pPr>
            <w:r>
              <w:rPr>
                <w:lang w:eastAsia="ja-JP"/>
              </w:rPr>
              <w:t>Includes regulatory actions</w:t>
            </w:r>
          </w:p>
        </w:tc>
      </w:tr>
      <w:tr w:rsidR="00DF6FFD" w14:paraId="2C14DA9D" w14:textId="77777777" w:rsidTr="04852FD9">
        <w:tc>
          <w:tcPr>
            <w:tcW w:w="0" w:type="auto"/>
            <w:tcBorders>
              <w:top w:val="single" w:sz="4" w:space="0" w:color="auto"/>
              <w:bottom w:val="single" w:sz="4" w:space="0" w:color="auto"/>
            </w:tcBorders>
          </w:tcPr>
          <w:p w14:paraId="41FF19C5" w14:textId="05379360" w:rsidR="00DF6FFD" w:rsidRDefault="2574010C">
            <w:pPr>
              <w:pStyle w:val="TableText"/>
              <w:rPr>
                <w:lang w:eastAsia="ja-JP"/>
              </w:rPr>
            </w:pPr>
            <w:r w:rsidRPr="4770B6D3">
              <w:rPr>
                <w:lang w:eastAsia="ja-JP"/>
              </w:rPr>
              <w:t>Independent observer</w:t>
            </w:r>
            <w:r w:rsidR="46CD8CE0" w:rsidRPr="4770B6D3">
              <w:rPr>
                <w:lang w:eastAsia="ja-JP"/>
              </w:rPr>
              <w:t xml:space="preserve"> </w:t>
            </w:r>
            <w:r w:rsidR="00305BDA">
              <w:rPr>
                <w:lang w:eastAsia="ja-JP"/>
              </w:rPr>
              <w:t>s</w:t>
            </w:r>
            <w:r w:rsidR="46CD8CE0" w:rsidRPr="4770B6D3">
              <w:rPr>
                <w:lang w:eastAsia="ja-JP"/>
              </w:rPr>
              <w:t>ummary report</w:t>
            </w:r>
          </w:p>
        </w:tc>
        <w:tc>
          <w:tcPr>
            <w:tcW w:w="0" w:type="auto"/>
            <w:tcBorders>
              <w:top w:val="single" w:sz="4" w:space="0" w:color="auto"/>
              <w:bottom w:val="single" w:sz="4" w:space="0" w:color="auto"/>
            </w:tcBorders>
          </w:tcPr>
          <w:p w14:paraId="728C626B" w14:textId="77777777" w:rsidR="00DF6FFD" w:rsidRDefault="00DF6FFD">
            <w:pPr>
              <w:pStyle w:val="TableText"/>
              <w:rPr>
                <w:lang w:eastAsia="ja-JP"/>
              </w:rPr>
            </w:pPr>
            <w:r>
              <w:rPr>
                <w:lang w:eastAsia="ja-JP"/>
              </w:rPr>
              <w:t>222</w:t>
            </w:r>
          </w:p>
        </w:tc>
        <w:tc>
          <w:tcPr>
            <w:tcW w:w="0" w:type="auto"/>
            <w:tcBorders>
              <w:top w:val="single" w:sz="4" w:space="0" w:color="auto"/>
              <w:bottom w:val="single" w:sz="4" w:space="0" w:color="auto"/>
            </w:tcBorders>
          </w:tcPr>
          <w:p w14:paraId="0EA8AA7F" w14:textId="77777777" w:rsidR="00DF6FFD" w:rsidRDefault="00DF6FFD">
            <w:pPr>
              <w:pStyle w:val="TableText"/>
              <w:rPr>
                <w:lang w:eastAsia="ja-JP"/>
              </w:rPr>
            </w:pPr>
            <w:r>
              <w:rPr>
                <w:lang w:eastAsia="ja-JP"/>
              </w:rPr>
              <w:t>Yes</w:t>
            </w:r>
          </w:p>
        </w:tc>
        <w:tc>
          <w:tcPr>
            <w:tcW w:w="0" w:type="auto"/>
            <w:tcBorders>
              <w:top w:val="single" w:sz="4" w:space="0" w:color="auto"/>
              <w:bottom w:val="single" w:sz="4" w:space="0" w:color="auto"/>
            </w:tcBorders>
          </w:tcPr>
          <w:p w14:paraId="77A174EB" w14:textId="77777777" w:rsidR="00DF6FFD" w:rsidRDefault="00DF6FFD">
            <w:pPr>
              <w:pStyle w:val="TableText"/>
              <w:rPr>
                <w:lang w:eastAsia="ja-JP"/>
              </w:rPr>
            </w:pPr>
            <w:r>
              <w:rPr>
                <w:lang w:eastAsia="ja-JP"/>
              </w:rPr>
              <w:t>When complete</w:t>
            </w:r>
          </w:p>
        </w:tc>
        <w:tc>
          <w:tcPr>
            <w:tcW w:w="0" w:type="auto"/>
            <w:tcBorders>
              <w:top w:val="single" w:sz="4" w:space="0" w:color="auto"/>
              <w:bottom w:val="single" w:sz="4" w:space="0" w:color="auto"/>
            </w:tcBorders>
          </w:tcPr>
          <w:p w14:paraId="080F50B6" w14:textId="541DAC11" w:rsidR="00DF6FFD" w:rsidRDefault="2574010C">
            <w:pPr>
              <w:pStyle w:val="TableText"/>
              <w:rPr>
                <w:lang w:eastAsia="ja-JP"/>
              </w:rPr>
            </w:pPr>
            <w:r w:rsidRPr="4770B6D3">
              <w:rPr>
                <w:lang w:eastAsia="ja-JP"/>
              </w:rPr>
              <w:t>Summary</w:t>
            </w:r>
            <w:r w:rsidR="1C7F0156" w:rsidRPr="4770B6D3">
              <w:rPr>
                <w:lang w:eastAsia="ja-JP"/>
              </w:rPr>
              <w:t xml:space="preserve"> report for publication </w:t>
            </w:r>
          </w:p>
        </w:tc>
        <w:tc>
          <w:tcPr>
            <w:tcW w:w="0" w:type="auto"/>
            <w:tcBorders>
              <w:top w:val="single" w:sz="4" w:space="0" w:color="auto"/>
              <w:bottom w:val="single" w:sz="4" w:space="0" w:color="auto"/>
            </w:tcBorders>
          </w:tcPr>
          <w:p w14:paraId="4E981AFA" w14:textId="77777777" w:rsidR="00DF6FFD" w:rsidRDefault="00DF6FFD">
            <w:pPr>
              <w:pStyle w:val="TableText"/>
              <w:rPr>
                <w:lang w:eastAsia="ja-JP"/>
              </w:rPr>
            </w:pPr>
            <w:r>
              <w:rPr>
                <w:lang w:eastAsia="ja-JP"/>
              </w:rPr>
              <w:t>Vessel</w:t>
            </w:r>
          </w:p>
        </w:tc>
        <w:tc>
          <w:tcPr>
            <w:tcW w:w="0" w:type="auto"/>
            <w:tcBorders>
              <w:top w:val="single" w:sz="4" w:space="0" w:color="auto"/>
              <w:bottom w:val="single" w:sz="4" w:space="0" w:color="auto"/>
            </w:tcBorders>
          </w:tcPr>
          <w:p w14:paraId="3C4FBFE3" w14:textId="77777777" w:rsidR="00DF6FFD" w:rsidRDefault="00DF6FFD">
            <w:pPr>
              <w:pStyle w:val="TableText"/>
              <w:rPr>
                <w:lang w:eastAsia="ja-JP"/>
              </w:rPr>
            </w:pPr>
            <w:r>
              <w:rPr>
                <w:lang w:eastAsia="ja-JP"/>
              </w:rPr>
              <w:t>Yes</w:t>
            </w:r>
          </w:p>
        </w:tc>
        <w:tc>
          <w:tcPr>
            <w:tcW w:w="0" w:type="auto"/>
            <w:tcBorders>
              <w:top w:val="single" w:sz="4" w:space="0" w:color="auto"/>
              <w:bottom w:val="single" w:sz="4" w:space="0" w:color="auto"/>
            </w:tcBorders>
          </w:tcPr>
          <w:p w14:paraId="5A8143DA" w14:textId="77777777" w:rsidR="00DF6FFD" w:rsidRDefault="00DF6FFD">
            <w:pPr>
              <w:pStyle w:val="TableText"/>
              <w:rPr>
                <w:lang w:eastAsia="ja-JP"/>
              </w:rPr>
            </w:pPr>
            <w:r>
              <w:rPr>
                <w:lang w:eastAsia="ja-JP"/>
              </w:rPr>
              <w:t>Yes</w:t>
            </w:r>
          </w:p>
        </w:tc>
      </w:tr>
      <w:tr w:rsidR="00DF6FFD" w14:paraId="016A0F11" w14:textId="77777777" w:rsidTr="04852FD9">
        <w:tc>
          <w:tcPr>
            <w:tcW w:w="0" w:type="auto"/>
            <w:tcBorders>
              <w:top w:val="single" w:sz="4" w:space="0" w:color="auto"/>
              <w:bottom w:val="single" w:sz="4" w:space="0" w:color="auto"/>
            </w:tcBorders>
          </w:tcPr>
          <w:p w14:paraId="37137966" w14:textId="77777777" w:rsidR="00DF6FFD" w:rsidRDefault="00DF6FFD">
            <w:pPr>
              <w:pStyle w:val="TableText"/>
              <w:rPr>
                <w:lang w:eastAsia="ja-JP"/>
              </w:rPr>
            </w:pPr>
            <w:r>
              <w:rPr>
                <w:lang w:eastAsia="ja-JP"/>
              </w:rPr>
              <w:t>Mortality report</w:t>
            </w:r>
          </w:p>
        </w:tc>
        <w:tc>
          <w:tcPr>
            <w:tcW w:w="0" w:type="auto"/>
            <w:tcBorders>
              <w:top w:val="single" w:sz="4" w:space="0" w:color="auto"/>
              <w:bottom w:val="single" w:sz="4" w:space="0" w:color="auto"/>
            </w:tcBorders>
          </w:tcPr>
          <w:p w14:paraId="01251906" w14:textId="77777777" w:rsidR="00DF6FFD" w:rsidRDefault="00DF6FFD">
            <w:pPr>
              <w:pStyle w:val="TableText"/>
              <w:rPr>
                <w:lang w:eastAsia="ja-JP"/>
              </w:rPr>
            </w:pPr>
            <w:r>
              <w:rPr>
                <w:lang w:eastAsia="ja-JP"/>
              </w:rPr>
              <w:t>86</w:t>
            </w:r>
          </w:p>
        </w:tc>
        <w:tc>
          <w:tcPr>
            <w:tcW w:w="0" w:type="auto"/>
            <w:tcBorders>
              <w:top w:val="single" w:sz="4" w:space="0" w:color="auto"/>
              <w:bottom w:val="single" w:sz="4" w:space="0" w:color="auto"/>
            </w:tcBorders>
          </w:tcPr>
          <w:p w14:paraId="073D9BED" w14:textId="77777777" w:rsidR="00DF6FFD" w:rsidRDefault="00DF6FFD">
            <w:pPr>
              <w:pStyle w:val="TableText"/>
              <w:rPr>
                <w:lang w:eastAsia="ja-JP"/>
              </w:rPr>
            </w:pPr>
            <w:r>
              <w:rPr>
                <w:lang w:eastAsia="ja-JP"/>
              </w:rPr>
              <w:t>Yes</w:t>
            </w:r>
          </w:p>
        </w:tc>
        <w:tc>
          <w:tcPr>
            <w:tcW w:w="0" w:type="auto"/>
            <w:tcBorders>
              <w:top w:val="single" w:sz="4" w:space="0" w:color="auto"/>
              <w:bottom w:val="single" w:sz="4" w:space="0" w:color="auto"/>
            </w:tcBorders>
          </w:tcPr>
          <w:p w14:paraId="61939509" w14:textId="77777777" w:rsidR="00DF6FFD" w:rsidRDefault="00DF6FFD">
            <w:pPr>
              <w:pStyle w:val="TableText"/>
              <w:rPr>
                <w:lang w:eastAsia="ja-JP"/>
              </w:rPr>
            </w:pPr>
            <w:r>
              <w:rPr>
                <w:lang w:eastAsia="ja-JP"/>
              </w:rPr>
              <w:t>Following investigation</w:t>
            </w:r>
          </w:p>
        </w:tc>
        <w:tc>
          <w:tcPr>
            <w:tcW w:w="0" w:type="auto"/>
            <w:tcBorders>
              <w:top w:val="single" w:sz="4" w:space="0" w:color="auto"/>
              <w:bottom w:val="single" w:sz="4" w:space="0" w:color="auto"/>
            </w:tcBorders>
          </w:tcPr>
          <w:p w14:paraId="75C9599D" w14:textId="1E9935A5" w:rsidR="00DF6FFD" w:rsidRDefault="2574010C">
            <w:pPr>
              <w:pStyle w:val="TableText"/>
              <w:rPr>
                <w:lang w:eastAsia="ja-JP"/>
              </w:rPr>
            </w:pPr>
            <w:r w:rsidRPr="4770B6D3">
              <w:rPr>
                <w:lang w:eastAsia="ja-JP"/>
              </w:rPr>
              <w:t>Full</w:t>
            </w:r>
            <w:r w:rsidR="6440B288" w:rsidRPr="4770B6D3">
              <w:rPr>
                <w:lang w:eastAsia="ja-JP"/>
              </w:rPr>
              <w:t xml:space="preserve"> report for publication</w:t>
            </w:r>
          </w:p>
        </w:tc>
        <w:tc>
          <w:tcPr>
            <w:tcW w:w="0" w:type="auto"/>
            <w:tcBorders>
              <w:top w:val="single" w:sz="4" w:space="0" w:color="auto"/>
              <w:bottom w:val="single" w:sz="4" w:space="0" w:color="auto"/>
            </w:tcBorders>
          </w:tcPr>
          <w:p w14:paraId="487FCE60" w14:textId="77777777" w:rsidR="00DF6FFD" w:rsidRDefault="00DF6FFD">
            <w:pPr>
              <w:pStyle w:val="TableText"/>
              <w:rPr>
                <w:lang w:eastAsia="ja-JP"/>
              </w:rPr>
            </w:pPr>
            <w:r>
              <w:rPr>
                <w:lang w:eastAsia="ja-JP"/>
              </w:rPr>
              <w:t>Exporter</w:t>
            </w:r>
          </w:p>
        </w:tc>
        <w:tc>
          <w:tcPr>
            <w:tcW w:w="0" w:type="auto"/>
            <w:tcBorders>
              <w:top w:val="single" w:sz="4" w:space="0" w:color="auto"/>
              <w:bottom w:val="single" w:sz="4" w:space="0" w:color="auto"/>
            </w:tcBorders>
          </w:tcPr>
          <w:p w14:paraId="6A1D19E8" w14:textId="77777777" w:rsidR="00DF6FFD" w:rsidRDefault="00DF6FFD">
            <w:pPr>
              <w:pStyle w:val="TableText"/>
              <w:rPr>
                <w:lang w:eastAsia="ja-JP"/>
              </w:rPr>
            </w:pPr>
            <w:r>
              <w:rPr>
                <w:lang w:eastAsia="ja-JP"/>
              </w:rPr>
              <w:t>No</w:t>
            </w:r>
          </w:p>
        </w:tc>
        <w:tc>
          <w:tcPr>
            <w:tcW w:w="0" w:type="auto"/>
            <w:tcBorders>
              <w:top w:val="single" w:sz="4" w:space="0" w:color="auto"/>
              <w:bottom w:val="single" w:sz="4" w:space="0" w:color="auto"/>
            </w:tcBorders>
          </w:tcPr>
          <w:p w14:paraId="7977BBBC" w14:textId="77777777" w:rsidR="00DF6FFD" w:rsidRDefault="00DF6FFD">
            <w:pPr>
              <w:pStyle w:val="TableText"/>
              <w:rPr>
                <w:lang w:eastAsia="ja-JP"/>
              </w:rPr>
            </w:pPr>
            <w:r>
              <w:rPr>
                <w:lang w:eastAsia="ja-JP"/>
              </w:rPr>
              <w:t>Yes</w:t>
            </w:r>
          </w:p>
        </w:tc>
      </w:tr>
      <w:tr w:rsidR="00DF6FFD" w14:paraId="12318108" w14:textId="77777777" w:rsidTr="04852FD9">
        <w:tc>
          <w:tcPr>
            <w:tcW w:w="0" w:type="auto"/>
            <w:tcBorders>
              <w:top w:val="single" w:sz="4" w:space="0" w:color="auto"/>
              <w:bottom w:val="single" w:sz="4" w:space="0" w:color="auto"/>
            </w:tcBorders>
          </w:tcPr>
          <w:p w14:paraId="5CD0A4B7" w14:textId="77777777" w:rsidR="00DF6FFD" w:rsidRDefault="00DF6FFD">
            <w:pPr>
              <w:pStyle w:val="TableText"/>
              <w:rPr>
                <w:lang w:eastAsia="ja-JP"/>
              </w:rPr>
            </w:pPr>
            <w:r>
              <w:rPr>
                <w:lang w:eastAsia="ja-JP"/>
              </w:rPr>
              <w:t>ESCAS</w:t>
            </w:r>
          </w:p>
        </w:tc>
        <w:tc>
          <w:tcPr>
            <w:tcW w:w="0" w:type="auto"/>
            <w:tcBorders>
              <w:top w:val="single" w:sz="4" w:space="0" w:color="auto"/>
              <w:bottom w:val="single" w:sz="4" w:space="0" w:color="auto"/>
            </w:tcBorders>
          </w:tcPr>
          <w:p w14:paraId="4B4BDA65" w14:textId="239822E0" w:rsidR="00DF6FFD" w:rsidRDefault="2574010C">
            <w:pPr>
              <w:pStyle w:val="TableText"/>
              <w:rPr>
                <w:lang w:eastAsia="ja-JP"/>
              </w:rPr>
            </w:pPr>
            <w:r w:rsidRPr="4770B6D3">
              <w:rPr>
                <w:lang w:eastAsia="ja-JP"/>
              </w:rPr>
              <w:t>1</w:t>
            </w:r>
            <w:r w:rsidR="7D44F9E1" w:rsidRPr="4770B6D3">
              <w:rPr>
                <w:lang w:eastAsia="ja-JP"/>
              </w:rPr>
              <w:t>8</w:t>
            </w:r>
            <w:r w:rsidRPr="4770B6D3">
              <w:rPr>
                <w:lang w:eastAsia="ja-JP"/>
              </w:rPr>
              <w:t>9</w:t>
            </w:r>
          </w:p>
        </w:tc>
        <w:tc>
          <w:tcPr>
            <w:tcW w:w="0" w:type="auto"/>
            <w:tcBorders>
              <w:top w:val="single" w:sz="4" w:space="0" w:color="auto"/>
              <w:bottom w:val="single" w:sz="4" w:space="0" w:color="auto"/>
            </w:tcBorders>
          </w:tcPr>
          <w:p w14:paraId="380638CC" w14:textId="77777777" w:rsidR="00DF6FFD" w:rsidRDefault="00DF6FFD">
            <w:pPr>
              <w:pStyle w:val="TableText"/>
              <w:rPr>
                <w:lang w:eastAsia="ja-JP"/>
              </w:rPr>
            </w:pPr>
            <w:r>
              <w:rPr>
                <w:lang w:eastAsia="ja-JP"/>
              </w:rPr>
              <w:t>Yes</w:t>
            </w:r>
          </w:p>
        </w:tc>
        <w:tc>
          <w:tcPr>
            <w:tcW w:w="0" w:type="auto"/>
            <w:tcBorders>
              <w:top w:val="single" w:sz="4" w:space="0" w:color="auto"/>
              <w:bottom w:val="single" w:sz="4" w:space="0" w:color="auto"/>
            </w:tcBorders>
          </w:tcPr>
          <w:p w14:paraId="61BDB75C" w14:textId="77777777" w:rsidR="00DF6FFD" w:rsidRDefault="00DF6FFD">
            <w:pPr>
              <w:pStyle w:val="TableText"/>
              <w:rPr>
                <w:lang w:eastAsia="ja-JP"/>
              </w:rPr>
            </w:pPr>
            <w:r>
              <w:rPr>
                <w:lang w:eastAsia="ja-JP"/>
              </w:rPr>
              <w:t>Quarterly following investigation</w:t>
            </w:r>
          </w:p>
        </w:tc>
        <w:tc>
          <w:tcPr>
            <w:tcW w:w="0" w:type="auto"/>
            <w:tcBorders>
              <w:top w:val="single" w:sz="4" w:space="0" w:color="auto"/>
              <w:bottom w:val="single" w:sz="4" w:space="0" w:color="auto"/>
            </w:tcBorders>
          </w:tcPr>
          <w:p w14:paraId="463028AD" w14:textId="5D7CFB1E" w:rsidR="00DF6FFD" w:rsidRDefault="7C2E7666">
            <w:pPr>
              <w:pStyle w:val="TableText"/>
              <w:rPr>
                <w:lang w:eastAsia="ja-JP"/>
              </w:rPr>
            </w:pPr>
            <w:r w:rsidRPr="4770B6D3">
              <w:rPr>
                <w:lang w:eastAsia="ja-JP"/>
              </w:rPr>
              <w:t>Full report for publication</w:t>
            </w:r>
          </w:p>
        </w:tc>
        <w:tc>
          <w:tcPr>
            <w:tcW w:w="0" w:type="auto"/>
            <w:tcBorders>
              <w:top w:val="single" w:sz="4" w:space="0" w:color="auto"/>
              <w:bottom w:val="single" w:sz="4" w:space="0" w:color="auto"/>
            </w:tcBorders>
          </w:tcPr>
          <w:p w14:paraId="40955009" w14:textId="77777777" w:rsidR="00DF6FFD" w:rsidRDefault="00DF6FFD">
            <w:pPr>
              <w:pStyle w:val="TableText"/>
              <w:rPr>
                <w:lang w:eastAsia="ja-JP"/>
              </w:rPr>
            </w:pPr>
            <w:r>
              <w:rPr>
                <w:lang w:eastAsia="ja-JP"/>
              </w:rPr>
              <w:t>Exporter</w:t>
            </w:r>
          </w:p>
          <w:p w14:paraId="3B2C4548" w14:textId="77777777" w:rsidR="00DF6FFD" w:rsidRDefault="00DF6FFD">
            <w:pPr>
              <w:pStyle w:val="TableText"/>
              <w:rPr>
                <w:lang w:eastAsia="ja-JP"/>
              </w:rPr>
            </w:pPr>
            <w:r>
              <w:rPr>
                <w:lang w:eastAsia="ja-JP"/>
              </w:rPr>
              <w:t>Third party reporting</w:t>
            </w:r>
          </w:p>
        </w:tc>
        <w:tc>
          <w:tcPr>
            <w:tcW w:w="0" w:type="auto"/>
            <w:tcBorders>
              <w:top w:val="single" w:sz="4" w:space="0" w:color="auto"/>
              <w:bottom w:val="single" w:sz="4" w:space="0" w:color="auto"/>
            </w:tcBorders>
          </w:tcPr>
          <w:p w14:paraId="2C6AB718" w14:textId="77777777" w:rsidR="00DF6FFD" w:rsidRDefault="00DF6FFD">
            <w:pPr>
              <w:pStyle w:val="TableText"/>
              <w:rPr>
                <w:lang w:eastAsia="ja-JP"/>
              </w:rPr>
            </w:pPr>
            <w:r>
              <w:rPr>
                <w:lang w:eastAsia="ja-JP"/>
              </w:rPr>
              <w:t>No</w:t>
            </w:r>
          </w:p>
        </w:tc>
        <w:tc>
          <w:tcPr>
            <w:tcW w:w="0" w:type="auto"/>
            <w:tcBorders>
              <w:top w:val="single" w:sz="4" w:space="0" w:color="auto"/>
              <w:bottom w:val="single" w:sz="4" w:space="0" w:color="auto"/>
            </w:tcBorders>
          </w:tcPr>
          <w:p w14:paraId="14FEE8B1" w14:textId="77777777" w:rsidR="00DF6FFD" w:rsidRDefault="00DF6FFD">
            <w:pPr>
              <w:pStyle w:val="TableText"/>
              <w:rPr>
                <w:lang w:eastAsia="ja-JP"/>
              </w:rPr>
            </w:pPr>
            <w:r>
              <w:rPr>
                <w:lang w:eastAsia="ja-JP"/>
              </w:rPr>
              <w:t>Yes</w:t>
            </w:r>
          </w:p>
        </w:tc>
      </w:tr>
      <w:tr w:rsidR="00DF6FFD" w14:paraId="34D64822" w14:textId="77777777" w:rsidTr="04852FD9">
        <w:tc>
          <w:tcPr>
            <w:tcW w:w="0" w:type="auto"/>
            <w:tcBorders>
              <w:top w:val="single" w:sz="4" w:space="0" w:color="auto"/>
              <w:bottom w:val="single" w:sz="4" w:space="0" w:color="auto"/>
            </w:tcBorders>
          </w:tcPr>
          <w:p w14:paraId="102FC243" w14:textId="5319743A" w:rsidR="00DF6FFD" w:rsidRDefault="66B77AE5">
            <w:pPr>
              <w:pStyle w:val="TableText"/>
              <w:rPr>
                <w:lang w:eastAsia="ja-JP"/>
              </w:rPr>
            </w:pPr>
            <w:r w:rsidRPr="04852FD9">
              <w:rPr>
                <w:lang w:eastAsia="ja-JP"/>
              </w:rPr>
              <w:t xml:space="preserve">Report to </w:t>
            </w:r>
            <w:r w:rsidR="00DF6FFD" w:rsidRPr="04852FD9">
              <w:rPr>
                <w:lang w:eastAsia="ja-JP"/>
              </w:rPr>
              <w:t>Parliament</w:t>
            </w:r>
            <w:r w:rsidR="7B2E48D7" w:rsidRPr="04852FD9">
              <w:rPr>
                <w:lang w:eastAsia="ja-JP"/>
              </w:rPr>
              <w:t xml:space="preserve"> on livestock exports by sea</w:t>
            </w:r>
          </w:p>
        </w:tc>
        <w:tc>
          <w:tcPr>
            <w:tcW w:w="0" w:type="auto"/>
            <w:tcBorders>
              <w:top w:val="single" w:sz="4" w:space="0" w:color="auto"/>
              <w:bottom w:val="single" w:sz="4" w:space="0" w:color="auto"/>
            </w:tcBorders>
          </w:tcPr>
          <w:p w14:paraId="133C3A37" w14:textId="77777777" w:rsidR="00DF6FFD" w:rsidRDefault="00DF6FFD">
            <w:pPr>
              <w:pStyle w:val="TableText"/>
              <w:rPr>
                <w:lang w:eastAsia="ja-JP"/>
              </w:rPr>
            </w:pPr>
            <w:r>
              <w:rPr>
                <w:lang w:eastAsia="ja-JP"/>
              </w:rPr>
              <w:t>36</w:t>
            </w:r>
          </w:p>
        </w:tc>
        <w:tc>
          <w:tcPr>
            <w:tcW w:w="0" w:type="auto"/>
            <w:tcBorders>
              <w:top w:val="single" w:sz="4" w:space="0" w:color="auto"/>
              <w:bottom w:val="single" w:sz="4" w:space="0" w:color="auto"/>
            </w:tcBorders>
          </w:tcPr>
          <w:p w14:paraId="08921A77" w14:textId="77777777" w:rsidR="00DF6FFD" w:rsidRDefault="00DF6FFD">
            <w:pPr>
              <w:pStyle w:val="TableText"/>
              <w:rPr>
                <w:lang w:eastAsia="ja-JP"/>
              </w:rPr>
            </w:pPr>
            <w:r>
              <w:rPr>
                <w:lang w:eastAsia="ja-JP"/>
              </w:rPr>
              <w:t>Yes</w:t>
            </w:r>
          </w:p>
        </w:tc>
        <w:tc>
          <w:tcPr>
            <w:tcW w:w="0" w:type="auto"/>
            <w:tcBorders>
              <w:top w:val="single" w:sz="4" w:space="0" w:color="auto"/>
              <w:bottom w:val="single" w:sz="4" w:space="0" w:color="auto"/>
            </w:tcBorders>
          </w:tcPr>
          <w:p w14:paraId="680DE978" w14:textId="77777777" w:rsidR="00DF6FFD" w:rsidRDefault="00DF6FFD">
            <w:pPr>
              <w:pStyle w:val="TableText"/>
              <w:rPr>
                <w:lang w:eastAsia="ja-JP"/>
              </w:rPr>
            </w:pPr>
            <w:r>
              <w:rPr>
                <w:lang w:eastAsia="ja-JP"/>
              </w:rPr>
              <w:t>6 months</w:t>
            </w:r>
          </w:p>
        </w:tc>
        <w:tc>
          <w:tcPr>
            <w:tcW w:w="0" w:type="auto"/>
            <w:tcBorders>
              <w:top w:val="single" w:sz="4" w:space="0" w:color="auto"/>
              <w:bottom w:val="single" w:sz="4" w:space="0" w:color="auto"/>
            </w:tcBorders>
          </w:tcPr>
          <w:p w14:paraId="78C2A12B" w14:textId="06FD073D" w:rsidR="00DF6FFD" w:rsidRDefault="363617E0">
            <w:pPr>
              <w:pStyle w:val="TableText"/>
              <w:rPr>
                <w:lang w:eastAsia="ja-JP"/>
              </w:rPr>
            </w:pPr>
            <w:r w:rsidRPr="04852FD9">
              <w:rPr>
                <w:lang w:eastAsia="ja-JP"/>
              </w:rPr>
              <w:t xml:space="preserve">Full report as required by legislation as tabled in Parliament </w:t>
            </w:r>
          </w:p>
        </w:tc>
        <w:tc>
          <w:tcPr>
            <w:tcW w:w="0" w:type="auto"/>
            <w:tcBorders>
              <w:top w:val="single" w:sz="4" w:space="0" w:color="auto"/>
              <w:bottom w:val="single" w:sz="4" w:space="0" w:color="auto"/>
            </w:tcBorders>
          </w:tcPr>
          <w:p w14:paraId="5DADE322" w14:textId="77777777" w:rsidR="00DF6FFD" w:rsidRDefault="00DF6FFD">
            <w:pPr>
              <w:pStyle w:val="TableText"/>
              <w:rPr>
                <w:lang w:eastAsia="ja-JP"/>
              </w:rPr>
            </w:pPr>
            <w:r>
              <w:rPr>
                <w:lang w:eastAsia="ja-JP"/>
              </w:rPr>
              <w:t>Exporter</w:t>
            </w:r>
          </w:p>
        </w:tc>
        <w:tc>
          <w:tcPr>
            <w:tcW w:w="0" w:type="auto"/>
            <w:tcBorders>
              <w:top w:val="single" w:sz="4" w:space="0" w:color="auto"/>
              <w:bottom w:val="single" w:sz="4" w:space="0" w:color="auto"/>
            </w:tcBorders>
          </w:tcPr>
          <w:p w14:paraId="72EF7A92" w14:textId="77777777" w:rsidR="00DF6FFD" w:rsidRDefault="00DF6FFD">
            <w:pPr>
              <w:pStyle w:val="TableText"/>
              <w:rPr>
                <w:lang w:eastAsia="ja-JP"/>
              </w:rPr>
            </w:pPr>
            <w:r>
              <w:rPr>
                <w:lang w:eastAsia="ja-JP"/>
              </w:rPr>
              <w:t>No</w:t>
            </w:r>
          </w:p>
        </w:tc>
        <w:tc>
          <w:tcPr>
            <w:tcW w:w="0" w:type="auto"/>
            <w:tcBorders>
              <w:top w:val="single" w:sz="4" w:space="0" w:color="auto"/>
              <w:bottom w:val="single" w:sz="4" w:space="0" w:color="auto"/>
            </w:tcBorders>
          </w:tcPr>
          <w:p w14:paraId="683E3078" w14:textId="77777777" w:rsidR="00DF6FFD" w:rsidRDefault="00DF6FFD">
            <w:pPr>
              <w:pStyle w:val="TableText"/>
              <w:rPr>
                <w:lang w:eastAsia="ja-JP"/>
              </w:rPr>
            </w:pPr>
            <w:r>
              <w:rPr>
                <w:lang w:eastAsia="ja-JP"/>
              </w:rPr>
              <w:t>Yes</w:t>
            </w:r>
          </w:p>
        </w:tc>
      </w:tr>
      <w:tr w:rsidR="00DF6FFD" w14:paraId="04E5E4FE" w14:textId="77777777" w:rsidTr="04852FD9">
        <w:tc>
          <w:tcPr>
            <w:tcW w:w="0" w:type="auto"/>
            <w:tcBorders>
              <w:top w:val="single" w:sz="4" w:space="0" w:color="auto"/>
            </w:tcBorders>
          </w:tcPr>
          <w:p w14:paraId="1B9A0058" w14:textId="77777777" w:rsidR="00DF6FFD" w:rsidRDefault="00DF6FFD">
            <w:pPr>
              <w:pStyle w:val="TableText"/>
              <w:rPr>
                <w:lang w:eastAsia="ja-JP"/>
              </w:rPr>
            </w:pPr>
            <w:r>
              <w:rPr>
                <w:lang w:eastAsia="ja-JP"/>
              </w:rPr>
              <w:t>Regulatory decisions</w:t>
            </w:r>
          </w:p>
        </w:tc>
        <w:tc>
          <w:tcPr>
            <w:tcW w:w="0" w:type="auto"/>
            <w:tcBorders>
              <w:top w:val="single" w:sz="4" w:space="0" w:color="auto"/>
            </w:tcBorders>
          </w:tcPr>
          <w:p w14:paraId="7E0BE816" w14:textId="77777777" w:rsidR="00DF6FFD" w:rsidRDefault="00DF6FFD">
            <w:pPr>
              <w:pStyle w:val="TableText"/>
              <w:rPr>
                <w:lang w:eastAsia="ja-JP"/>
              </w:rPr>
            </w:pPr>
            <w:r>
              <w:rPr>
                <w:lang w:eastAsia="ja-JP"/>
              </w:rPr>
              <w:t>3</w:t>
            </w:r>
          </w:p>
        </w:tc>
        <w:tc>
          <w:tcPr>
            <w:tcW w:w="0" w:type="auto"/>
            <w:tcBorders>
              <w:top w:val="single" w:sz="4" w:space="0" w:color="auto"/>
            </w:tcBorders>
          </w:tcPr>
          <w:p w14:paraId="29D39612" w14:textId="77777777" w:rsidR="00DF6FFD" w:rsidRDefault="00DF6FFD">
            <w:pPr>
              <w:pStyle w:val="TableText"/>
              <w:rPr>
                <w:lang w:eastAsia="ja-JP"/>
              </w:rPr>
            </w:pPr>
            <w:r>
              <w:rPr>
                <w:lang w:eastAsia="ja-JP"/>
              </w:rPr>
              <w:t>Yes</w:t>
            </w:r>
          </w:p>
        </w:tc>
        <w:tc>
          <w:tcPr>
            <w:tcW w:w="0" w:type="auto"/>
            <w:tcBorders>
              <w:top w:val="single" w:sz="4" w:space="0" w:color="auto"/>
            </w:tcBorders>
          </w:tcPr>
          <w:p w14:paraId="3530F09B" w14:textId="77777777" w:rsidR="00DF6FFD" w:rsidRDefault="00DF6FFD">
            <w:pPr>
              <w:pStyle w:val="TableText"/>
              <w:rPr>
                <w:lang w:eastAsia="ja-JP"/>
              </w:rPr>
            </w:pPr>
            <w:r>
              <w:rPr>
                <w:lang w:eastAsia="ja-JP"/>
              </w:rPr>
              <w:t>When complete</w:t>
            </w:r>
          </w:p>
        </w:tc>
        <w:tc>
          <w:tcPr>
            <w:tcW w:w="0" w:type="auto"/>
            <w:tcBorders>
              <w:top w:val="single" w:sz="4" w:space="0" w:color="auto"/>
            </w:tcBorders>
          </w:tcPr>
          <w:p w14:paraId="318B2966" w14:textId="77777777" w:rsidR="00DF6FFD" w:rsidRDefault="00DF6FFD">
            <w:pPr>
              <w:pStyle w:val="TableText"/>
              <w:rPr>
                <w:lang w:eastAsia="ja-JP"/>
              </w:rPr>
            </w:pPr>
            <w:r>
              <w:rPr>
                <w:lang w:eastAsia="ja-JP"/>
              </w:rPr>
              <w:t>Full</w:t>
            </w:r>
          </w:p>
        </w:tc>
        <w:tc>
          <w:tcPr>
            <w:tcW w:w="0" w:type="auto"/>
            <w:tcBorders>
              <w:top w:val="single" w:sz="4" w:space="0" w:color="auto"/>
            </w:tcBorders>
          </w:tcPr>
          <w:p w14:paraId="42C005A5" w14:textId="77777777" w:rsidR="00DF6FFD" w:rsidRDefault="00DF6FFD">
            <w:pPr>
              <w:pStyle w:val="TableText"/>
              <w:rPr>
                <w:lang w:eastAsia="ja-JP"/>
              </w:rPr>
            </w:pPr>
            <w:r>
              <w:rPr>
                <w:lang w:eastAsia="ja-JP"/>
              </w:rPr>
              <w:t>Exporter, vessel, Industry groups, third parties</w:t>
            </w:r>
          </w:p>
        </w:tc>
        <w:tc>
          <w:tcPr>
            <w:tcW w:w="0" w:type="auto"/>
            <w:tcBorders>
              <w:top w:val="single" w:sz="4" w:space="0" w:color="auto"/>
            </w:tcBorders>
          </w:tcPr>
          <w:p w14:paraId="5BA571BE" w14:textId="77777777" w:rsidR="00DF6FFD" w:rsidRDefault="00DF6FFD">
            <w:pPr>
              <w:pStyle w:val="TableText"/>
              <w:rPr>
                <w:lang w:eastAsia="ja-JP"/>
              </w:rPr>
            </w:pPr>
            <w:r>
              <w:rPr>
                <w:lang w:eastAsia="ja-JP"/>
              </w:rPr>
              <w:t>No</w:t>
            </w:r>
          </w:p>
        </w:tc>
        <w:tc>
          <w:tcPr>
            <w:tcW w:w="0" w:type="auto"/>
            <w:tcBorders>
              <w:top w:val="single" w:sz="4" w:space="0" w:color="auto"/>
            </w:tcBorders>
          </w:tcPr>
          <w:p w14:paraId="750967F4" w14:textId="77777777" w:rsidR="00DF6FFD" w:rsidRDefault="00DF6FFD">
            <w:pPr>
              <w:pStyle w:val="TableText"/>
              <w:rPr>
                <w:lang w:eastAsia="ja-JP"/>
              </w:rPr>
            </w:pPr>
            <w:r>
              <w:rPr>
                <w:lang w:eastAsia="ja-JP"/>
              </w:rPr>
              <w:t>Yes</w:t>
            </w:r>
          </w:p>
        </w:tc>
      </w:tr>
    </w:tbl>
    <w:p w14:paraId="359F588F" w14:textId="77777777" w:rsidR="00DF6FFD" w:rsidRDefault="00DF6FFD" w:rsidP="00235B1E">
      <w:pPr>
        <w:spacing w:before="240"/>
        <w:rPr>
          <w:lang w:eastAsia="ja-JP"/>
        </w:rPr>
      </w:pPr>
      <w:r>
        <w:rPr>
          <w:lang w:eastAsia="ja-JP"/>
        </w:rPr>
        <w:t>The inspector-general heard concerns from industry that too much information is published online.</w:t>
      </w:r>
    </w:p>
    <w:p w14:paraId="3D152CC2" w14:textId="77777777" w:rsidR="00DF6FFD" w:rsidRDefault="00DF6FFD" w:rsidP="00DF6FFD">
      <w:pPr>
        <w:pStyle w:val="Quote"/>
        <w:rPr>
          <w:lang w:eastAsia="ja-JP"/>
        </w:rPr>
      </w:pPr>
      <w:r>
        <w:rPr>
          <w:lang w:eastAsia="ja-JP"/>
        </w:rPr>
        <w:t>Exporters remain very concerned about the level of detail being published on DAFF’s website…</w:t>
      </w:r>
      <w:r w:rsidRPr="00225A95">
        <w:t xml:space="preserve"> </w:t>
      </w:r>
      <w:r w:rsidRPr="00225A95">
        <w:rPr>
          <w:lang w:eastAsia="ja-JP"/>
        </w:rPr>
        <w:t xml:space="preserve">Such detail provides a one stop shop for anyone to derive all the intelligence of Australian exporters – not only by fellow exporters (competitors) but also overseas customers, foreign </w:t>
      </w:r>
      <w:proofErr w:type="gramStart"/>
      <w:r w:rsidRPr="00225A95">
        <w:rPr>
          <w:lang w:eastAsia="ja-JP"/>
        </w:rPr>
        <w:t>governments</w:t>
      </w:r>
      <w:proofErr w:type="gramEnd"/>
      <w:r w:rsidRPr="00225A95">
        <w:rPr>
          <w:lang w:eastAsia="ja-JP"/>
        </w:rPr>
        <w:t xml:space="preserve"> and animal rights activist groups</w:t>
      </w:r>
      <w:r>
        <w:rPr>
          <w:lang w:eastAsia="ja-JP"/>
        </w:rPr>
        <w:t xml:space="preserve"> (ALEC submission).</w:t>
      </w:r>
    </w:p>
    <w:p w14:paraId="7062F1E7" w14:textId="77777777" w:rsidR="00DF6FFD" w:rsidRDefault="00DF6FFD" w:rsidP="00DF6FFD">
      <w:pPr>
        <w:rPr>
          <w:lang w:eastAsia="ja-JP"/>
        </w:rPr>
      </w:pPr>
      <w:r>
        <w:rPr>
          <w:lang w:eastAsia="ja-JP"/>
        </w:rPr>
        <w:t>While the department needs to be conscious of the potential for published information to be commercially sensitive (if the department is the only source from which commercial information could be derived) the high level of public interest in livestock exports requires a high level of transparency from the department.</w:t>
      </w:r>
    </w:p>
    <w:p w14:paraId="45D85249" w14:textId="3F8802EF" w:rsidR="00D54A8A" w:rsidRDefault="00D54A8A" w:rsidP="003C6BDB">
      <w:pPr>
        <w:pStyle w:val="BoxHeading"/>
        <w:keepNext/>
        <w:keepLines/>
        <w:rPr>
          <w:lang w:eastAsia="ja-JP"/>
        </w:rPr>
      </w:pPr>
      <w:r w:rsidRPr="00340FF9">
        <w:t>Recommendation</w:t>
      </w:r>
      <w:r w:rsidR="00174B96">
        <w:rPr>
          <w:bCs/>
          <w:lang w:eastAsia="ja-JP"/>
        </w:rPr>
        <w:t xml:space="preserve"> </w:t>
      </w:r>
      <w:r w:rsidR="00842768">
        <w:rPr>
          <w:bCs/>
          <w:lang w:eastAsia="ja-JP"/>
        </w:rPr>
        <w:t>5</w:t>
      </w:r>
    </w:p>
    <w:p w14:paraId="782A3587" w14:textId="77777777" w:rsidR="00235B1E" w:rsidRPr="001C013C" w:rsidRDefault="00235B1E" w:rsidP="00235B1E">
      <w:pPr>
        <w:pStyle w:val="BoxText"/>
        <w:keepNext/>
        <w:keepLines/>
        <w:rPr>
          <w:lang w:eastAsia="ja-JP"/>
        </w:rPr>
      </w:pPr>
      <w:r w:rsidRPr="001C013C">
        <w:rPr>
          <w:lang w:eastAsia="ja-JP"/>
        </w:rPr>
        <w:t>The department should be consistent in its reports with naming of entities, scheduling publication, and inclusion of non-compliance and regulatory action taken information. In this regard</w:t>
      </w:r>
      <w:r>
        <w:rPr>
          <w:lang w:eastAsia="ja-JP"/>
        </w:rPr>
        <w:t>,</w:t>
      </w:r>
      <w:r w:rsidRPr="001C013C">
        <w:rPr>
          <w:lang w:eastAsia="ja-JP"/>
        </w:rPr>
        <w:t xml:space="preserve"> the department should consider whether integration and rationalisation of reporting would be beneficial to make information more easily accessible to stakeholders.</w:t>
      </w:r>
    </w:p>
    <w:p w14:paraId="3A8BE6E1" w14:textId="1BE9FEFC" w:rsidR="00DF6FFD" w:rsidRDefault="00DF6FFD" w:rsidP="00DF6FFD">
      <w:pPr>
        <w:rPr>
          <w:lang w:eastAsia="ja-JP"/>
        </w:rPr>
      </w:pPr>
      <w:r>
        <w:rPr>
          <w:lang w:eastAsia="ja-JP"/>
        </w:rPr>
        <w:t>Submissions to this review have criticised the timeliness of the department finalising reports and providing or publishing them.</w:t>
      </w:r>
    </w:p>
    <w:p w14:paraId="242512D7" w14:textId="07B3D1C6" w:rsidR="00DF6FFD" w:rsidRDefault="2574010C" w:rsidP="00DF6FFD">
      <w:pPr>
        <w:rPr>
          <w:lang w:eastAsia="ja-JP"/>
        </w:rPr>
      </w:pPr>
      <w:r w:rsidRPr="4770B6D3">
        <w:rPr>
          <w:lang w:eastAsia="ja-JP"/>
        </w:rPr>
        <w:t xml:space="preserve">Industry has expressed its concern </w:t>
      </w:r>
      <w:r w:rsidR="7E6B1CDD" w:rsidRPr="4770B6D3">
        <w:rPr>
          <w:lang w:eastAsia="ja-JP"/>
        </w:rPr>
        <w:t>that</w:t>
      </w:r>
      <w:r w:rsidRPr="4770B6D3">
        <w:rPr>
          <w:lang w:eastAsia="ja-JP"/>
        </w:rPr>
        <w:t xml:space="preserve"> IO </w:t>
      </w:r>
      <w:r w:rsidR="00A91785">
        <w:rPr>
          <w:lang w:eastAsia="ja-JP"/>
        </w:rPr>
        <w:t xml:space="preserve">observational data </w:t>
      </w:r>
      <w:r w:rsidRPr="4770B6D3">
        <w:rPr>
          <w:lang w:eastAsia="ja-JP"/>
        </w:rPr>
        <w:t xml:space="preserve">from long haul voyages </w:t>
      </w:r>
      <w:r w:rsidR="7E6B1CDD" w:rsidRPr="4770B6D3">
        <w:rPr>
          <w:lang w:eastAsia="ja-JP"/>
        </w:rPr>
        <w:t xml:space="preserve">are not </w:t>
      </w:r>
      <w:r w:rsidRPr="4770B6D3">
        <w:rPr>
          <w:lang w:eastAsia="ja-JP"/>
        </w:rPr>
        <w:t>being provided to exporters</w:t>
      </w:r>
      <w:r w:rsidR="7E6B1CDD" w:rsidRPr="4770B6D3">
        <w:rPr>
          <w:lang w:eastAsia="ja-JP"/>
        </w:rPr>
        <w:t xml:space="preserve"> in a timely manner</w:t>
      </w:r>
      <w:r w:rsidRPr="4770B6D3">
        <w:rPr>
          <w:lang w:eastAsia="ja-JP"/>
        </w:rPr>
        <w:t xml:space="preserve">. The department sends </w:t>
      </w:r>
      <w:r w:rsidR="7A847952" w:rsidRPr="4770B6D3">
        <w:rPr>
          <w:lang w:eastAsia="ja-JP"/>
        </w:rPr>
        <w:t xml:space="preserve">the </w:t>
      </w:r>
      <w:r w:rsidRPr="4770B6D3">
        <w:rPr>
          <w:lang w:eastAsia="ja-JP"/>
        </w:rPr>
        <w:t xml:space="preserve">IO </w:t>
      </w:r>
      <w:r w:rsidR="00DE5AC6">
        <w:rPr>
          <w:lang w:eastAsia="ja-JP"/>
        </w:rPr>
        <w:t>observational data (redacted)</w:t>
      </w:r>
      <w:r w:rsidRPr="4770B6D3">
        <w:rPr>
          <w:lang w:eastAsia="ja-JP"/>
        </w:rPr>
        <w:t xml:space="preserve"> to </w:t>
      </w:r>
      <w:r w:rsidR="7A847952" w:rsidRPr="4770B6D3">
        <w:rPr>
          <w:lang w:eastAsia="ja-JP"/>
        </w:rPr>
        <w:t>the exporter</w:t>
      </w:r>
      <w:r w:rsidR="7E6B1CDD" w:rsidRPr="4770B6D3">
        <w:rPr>
          <w:lang w:eastAsia="ja-JP"/>
        </w:rPr>
        <w:t xml:space="preserve"> so that early </w:t>
      </w:r>
      <w:r w:rsidR="6B4D8DF1" w:rsidRPr="4770B6D3">
        <w:rPr>
          <w:lang w:eastAsia="ja-JP"/>
        </w:rPr>
        <w:t>rectification</w:t>
      </w:r>
      <w:r w:rsidR="7E6B1CDD" w:rsidRPr="4770B6D3">
        <w:rPr>
          <w:lang w:eastAsia="ja-JP"/>
        </w:rPr>
        <w:t xml:space="preserve"> action</w:t>
      </w:r>
      <w:r w:rsidR="6B4D8DF1" w:rsidRPr="4770B6D3">
        <w:rPr>
          <w:lang w:eastAsia="ja-JP"/>
        </w:rPr>
        <w:t>s</w:t>
      </w:r>
      <w:r w:rsidR="7E6B1CDD" w:rsidRPr="4770B6D3">
        <w:rPr>
          <w:lang w:eastAsia="ja-JP"/>
        </w:rPr>
        <w:t xml:space="preserve"> can be taken where necessary,</w:t>
      </w:r>
      <w:r w:rsidRPr="4770B6D3">
        <w:rPr>
          <w:lang w:eastAsia="ja-JP"/>
        </w:rPr>
        <w:t xml:space="preserve"> </w:t>
      </w:r>
      <w:r w:rsidR="7E6B1CDD" w:rsidRPr="4770B6D3">
        <w:rPr>
          <w:lang w:eastAsia="ja-JP"/>
        </w:rPr>
        <w:t xml:space="preserve">and </w:t>
      </w:r>
      <w:r w:rsidRPr="4770B6D3">
        <w:rPr>
          <w:lang w:eastAsia="ja-JP"/>
        </w:rPr>
        <w:lastRenderedPageBreak/>
        <w:t xml:space="preserve">for procedural fairness </w:t>
      </w:r>
      <w:r w:rsidR="7E6B1CDD" w:rsidRPr="4770B6D3">
        <w:rPr>
          <w:lang w:eastAsia="ja-JP"/>
        </w:rPr>
        <w:t>in relation to</w:t>
      </w:r>
      <w:r w:rsidR="15DCC51E" w:rsidRPr="4770B6D3">
        <w:rPr>
          <w:lang w:eastAsia="ja-JP"/>
        </w:rPr>
        <w:t xml:space="preserve"> </w:t>
      </w:r>
      <w:r w:rsidRPr="4770B6D3">
        <w:rPr>
          <w:lang w:eastAsia="ja-JP"/>
        </w:rPr>
        <w:t xml:space="preserve">any non-compliance allegations prior to publication. </w:t>
      </w:r>
      <w:r w:rsidR="00F01D03">
        <w:rPr>
          <w:lang w:eastAsia="ja-JP"/>
        </w:rPr>
        <w:t>Once any additional information or evidence provided by the exporter has been considered and any investigation</w:t>
      </w:r>
      <w:r w:rsidRPr="4770B6D3">
        <w:rPr>
          <w:lang w:eastAsia="ja-JP"/>
        </w:rPr>
        <w:t xml:space="preserve"> finalised, the </w:t>
      </w:r>
      <w:r w:rsidR="00ED68AC">
        <w:rPr>
          <w:lang w:eastAsia="ja-JP"/>
        </w:rPr>
        <w:t>IO reviews the report and prepares the summary. The summary is provided to the exporter before being</w:t>
      </w:r>
      <w:r w:rsidRPr="4770B6D3">
        <w:rPr>
          <w:lang w:eastAsia="ja-JP"/>
        </w:rPr>
        <w:t xml:space="preserve"> publishe</w:t>
      </w:r>
      <w:r w:rsidR="00ED68AC">
        <w:rPr>
          <w:lang w:eastAsia="ja-JP"/>
        </w:rPr>
        <w:t>d</w:t>
      </w:r>
      <w:r w:rsidRPr="4770B6D3">
        <w:rPr>
          <w:lang w:eastAsia="ja-JP"/>
        </w:rPr>
        <w:t>. In their submission to this review:</w:t>
      </w:r>
    </w:p>
    <w:p w14:paraId="3D50986C" w14:textId="77777777" w:rsidR="00DF6FFD" w:rsidRDefault="00DF6FFD" w:rsidP="00DF6FFD">
      <w:pPr>
        <w:pStyle w:val="Quote"/>
        <w:rPr>
          <w:lang w:eastAsia="ja-JP"/>
        </w:rPr>
      </w:pPr>
      <w:r w:rsidRPr="0002041C">
        <w:rPr>
          <w:lang w:eastAsia="ja-JP"/>
        </w:rPr>
        <w:t xml:space="preserve">ALEC recommends that DAFF should implement mandatory reporting timeframes for Independent Observer reports to be provided to exporters, particularly if there are compliance issues identified, so that rectification actions can be taken as soon as possible. The timeframes should be legislated and </w:t>
      </w:r>
      <w:proofErr w:type="gramStart"/>
      <w:r w:rsidRPr="0002041C">
        <w:rPr>
          <w:lang w:eastAsia="ja-JP"/>
        </w:rPr>
        <w:t>similar to</w:t>
      </w:r>
      <w:proofErr w:type="gramEnd"/>
      <w:r w:rsidRPr="0002041C">
        <w:rPr>
          <w:lang w:eastAsia="ja-JP"/>
        </w:rPr>
        <w:t xml:space="preserve"> those for end of voyage reports by AAVs and accredited stockpersons</w:t>
      </w:r>
      <w:r>
        <w:rPr>
          <w:lang w:eastAsia="ja-JP"/>
        </w:rPr>
        <w:t xml:space="preserve"> (ALEC 2022)</w:t>
      </w:r>
      <w:r w:rsidRPr="0002041C">
        <w:rPr>
          <w:lang w:eastAsia="ja-JP"/>
        </w:rPr>
        <w:t>.</w:t>
      </w:r>
    </w:p>
    <w:p w14:paraId="5EB6421F" w14:textId="185D5074" w:rsidR="00D54A8A" w:rsidRDefault="2574010C" w:rsidP="00DF6FFD">
      <w:pPr>
        <w:rPr>
          <w:lang w:eastAsia="ja-JP"/>
        </w:rPr>
      </w:pPr>
      <w:r w:rsidRPr="4770B6D3">
        <w:rPr>
          <w:lang w:eastAsia="ja-JP"/>
        </w:rPr>
        <w:t xml:space="preserve">The inspector-general considers that IO </w:t>
      </w:r>
      <w:r w:rsidR="00DE5AC6">
        <w:rPr>
          <w:lang w:eastAsia="ja-JP"/>
        </w:rPr>
        <w:t>observational data</w:t>
      </w:r>
      <w:r w:rsidR="00DE5AC6" w:rsidRPr="4770B6D3">
        <w:rPr>
          <w:lang w:eastAsia="ja-JP"/>
        </w:rPr>
        <w:t xml:space="preserve"> </w:t>
      </w:r>
      <w:r w:rsidRPr="4770B6D3">
        <w:rPr>
          <w:lang w:eastAsia="ja-JP"/>
        </w:rPr>
        <w:t>should be provided to the exporter</w:t>
      </w:r>
      <w:r w:rsidR="4D345A33" w:rsidRPr="4770B6D3">
        <w:rPr>
          <w:lang w:eastAsia="ja-JP"/>
        </w:rPr>
        <w:t>,</w:t>
      </w:r>
      <w:r w:rsidRPr="4770B6D3">
        <w:rPr>
          <w:lang w:eastAsia="ja-JP"/>
        </w:rPr>
        <w:t xml:space="preserve"> </w:t>
      </w:r>
      <w:r w:rsidR="00DE5AC6" w:rsidRPr="4770B6D3">
        <w:rPr>
          <w:lang w:eastAsia="ja-JP"/>
        </w:rPr>
        <w:t>a</w:t>
      </w:r>
      <w:r w:rsidR="00DE5AC6">
        <w:rPr>
          <w:lang w:eastAsia="ja-JP"/>
        </w:rPr>
        <w:t>s well as</w:t>
      </w:r>
      <w:r w:rsidR="00DE5AC6" w:rsidRPr="4770B6D3">
        <w:rPr>
          <w:lang w:eastAsia="ja-JP"/>
        </w:rPr>
        <w:t xml:space="preserve"> </w:t>
      </w:r>
      <w:r w:rsidR="00DE5AC6">
        <w:rPr>
          <w:lang w:eastAsia="ja-JP"/>
        </w:rPr>
        <w:t xml:space="preserve">the finalised summary </w:t>
      </w:r>
      <w:r w:rsidR="00701073">
        <w:rPr>
          <w:lang w:eastAsia="ja-JP"/>
        </w:rPr>
        <w:t>IO report</w:t>
      </w:r>
      <w:r w:rsidR="00DE5AC6">
        <w:rPr>
          <w:lang w:eastAsia="ja-JP"/>
        </w:rPr>
        <w:t xml:space="preserve"> </w:t>
      </w:r>
      <w:r w:rsidRPr="4770B6D3">
        <w:rPr>
          <w:lang w:eastAsia="ja-JP"/>
        </w:rPr>
        <w:t>published</w:t>
      </w:r>
      <w:r w:rsidR="4D345A33" w:rsidRPr="4770B6D3">
        <w:rPr>
          <w:lang w:eastAsia="ja-JP"/>
        </w:rPr>
        <w:t>,</w:t>
      </w:r>
      <w:r w:rsidRPr="4770B6D3">
        <w:rPr>
          <w:lang w:eastAsia="ja-JP"/>
        </w:rPr>
        <w:t xml:space="preserve"> in a consistent and timely </w:t>
      </w:r>
      <w:r w:rsidR="6B4D8DF1" w:rsidRPr="4770B6D3">
        <w:rPr>
          <w:lang w:eastAsia="ja-JP"/>
        </w:rPr>
        <w:t>manner</w:t>
      </w:r>
      <w:r w:rsidR="005E0529">
        <w:rPr>
          <w:lang w:eastAsia="ja-JP"/>
        </w:rPr>
        <w:t>,</w:t>
      </w:r>
      <w:r w:rsidR="6B4D8DF1" w:rsidRPr="4770B6D3">
        <w:rPr>
          <w:lang w:eastAsia="ja-JP"/>
        </w:rPr>
        <w:t xml:space="preserve"> and</w:t>
      </w:r>
      <w:r w:rsidRPr="4770B6D3">
        <w:rPr>
          <w:lang w:eastAsia="ja-JP"/>
        </w:rPr>
        <w:t xml:space="preserve"> has previously recommended this action (IGLAE 2020</w:t>
      </w:r>
      <w:r w:rsidR="00902613">
        <w:rPr>
          <w:lang w:eastAsia="ja-JP"/>
        </w:rPr>
        <w:t>b</w:t>
      </w:r>
      <w:r w:rsidRPr="4770B6D3">
        <w:rPr>
          <w:lang w:eastAsia="ja-JP"/>
        </w:rPr>
        <w:t>). The inspector-general notes that the department has not yet implemented this recommendation. When it does so</w:t>
      </w:r>
      <w:r w:rsidR="0015584C">
        <w:rPr>
          <w:lang w:eastAsia="ja-JP"/>
        </w:rPr>
        <w:t>,</w:t>
      </w:r>
      <w:r w:rsidRPr="4770B6D3">
        <w:rPr>
          <w:lang w:eastAsia="ja-JP"/>
        </w:rPr>
        <w:t xml:space="preserve"> the department should include service level commitments for the timely publication of all reports.</w:t>
      </w:r>
      <w:r w:rsidR="1083362D" w:rsidRPr="4770B6D3">
        <w:rPr>
          <w:lang w:eastAsia="ja-JP"/>
        </w:rPr>
        <w:t xml:space="preserve"> This would </w:t>
      </w:r>
      <w:r w:rsidR="51884F29" w:rsidRPr="4770B6D3">
        <w:rPr>
          <w:lang w:eastAsia="ja-JP"/>
        </w:rPr>
        <w:t>provide an opportunity for the department to consider streamlining or integrating some of its reports.</w:t>
      </w:r>
    </w:p>
    <w:p w14:paraId="73551E41" w14:textId="70505CF1" w:rsidR="004350F9" w:rsidRDefault="00DF6FFD" w:rsidP="004350F9">
      <w:pPr>
        <w:pStyle w:val="BoxHeading"/>
        <w:rPr>
          <w:bCs/>
          <w:lang w:eastAsia="ja-JP"/>
        </w:rPr>
      </w:pPr>
      <w:r w:rsidRPr="00F12F66">
        <w:t>Recommendation</w:t>
      </w:r>
      <w:r w:rsidR="004350F9">
        <w:rPr>
          <w:bCs/>
          <w:lang w:eastAsia="ja-JP"/>
        </w:rPr>
        <w:t xml:space="preserve"> 6</w:t>
      </w:r>
    </w:p>
    <w:p w14:paraId="51E13705" w14:textId="2E1578C6" w:rsidR="00DF6FFD" w:rsidRDefault="004711CA" w:rsidP="00F12F66">
      <w:pPr>
        <w:pStyle w:val="BoxText"/>
        <w:rPr>
          <w:lang w:eastAsia="ja-JP"/>
        </w:rPr>
      </w:pPr>
      <w:bookmarkStart w:id="42" w:name="_Hlk129170429"/>
      <w:r>
        <w:rPr>
          <w:lang w:eastAsia="ja-JP"/>
        </w:rPr>
        <w:t>T</w:t>
      </w:r>
      <w:r w:rsidR="592C584F" w:rsidRPr="6AAC95B8">
        <w:rPr>
          <w:lang w:eastAsia="ja-JP"/>
        </w:rPr>
        <w:t xml:space="preserve">he department develop and publish a service level commitment for the provision of IO </w:t>
      </w:r>
      <w:r w:rsidR="00DE5AC6">
        <w:rPr>
          <w:lang w:eastAsia="ja-JP"/>
        </w:rPr>
        <w:t>observational data</w:t>
      </w:r>
      <w:r w:rsidR="00DE5AC6" w:rsidRPr="6AAC95B8">
        <w:rPr>
          <w:lang w:eastAsia="ja-JP"/>
        </w:rPr>
        <w:t xml:space="preserve"> </w:t>
      </w:r>
      <w:r w:rsidR="592C584F" w:rsidRPr="6AAC95B8">
        <w:rPr>
          <w:lang w:eastAsia="ja-JP"/>
        </w:rPr>
        <w:t xml:space="preserve">to </w:t>
      </w:r>
      <w:r w:rsidR="00DE5AC6">
        <w:rPr>
          <w:lang w:eastAsia="ja-JP"/>
        </w:rPr>
        <w:t>exporters</w:t>
      </w:r>
      <w:r w:rsidR="592C584F" w:rsidRPr="6AAC95B8">
        <w:rPr>
          <w:lang w:eastAsia="ja-JP"/>
        </w:rPr>
        <w:t xml:space="preserve">, and for the publication of </w:t>
      </w:r>
      <w:proofErr w:type="gramStart"/>
      <w:r w:rsidR="592C584F" w:rsidRPr="6AAC95B8">
        <w:rPr>
          <w:lang w:eastAsia="ja-JP"/>
        </w:rPr>
        <w:t>all of</w:t>
      </w:r>
      <w:proofErr w:type="gramEnd"/>
      <w:r w:rsidR="592C584F" w:rsidRPr="6AAC95B8">
        <w:rPr>
          <w:lang w:eastAsia="ja-JP"/>
        </w:rPr>
        <w:t xml:space="preserve"> its live animal export reports.</w:t>
      </w:r>
    </w:p>
    <w:p w14:paraId="73A2E3D7" w14:textId="60850226" w:rsidR="0065401A" w:rsidRDefault="0028105B">
      <w:pPr>
        <w:pStyle w:val="Heading2"/>
      </w:pPr>
      <w:bookmarkStart w:id="43" w:name="_Toc131596840"/>
      <w:bookmarkEnd w:id="42"/>
      <w:r>
        <w:lastRenderedPageBreak/>
        <w:t>Response to</w:t>
      </w:r>
      <w:r w:rsidR="00AC24E6">
        <w:t xml:space="preserve"> </w:t>
      </w:r>
      <w:r w:rsidR="00F12F66">
        <w:t>e</w:t>
      </w:r>
      <w:r w:rsidR="00AC24E6">
        <w:t xml:space="preserve">nquiries, </w:t>
      </w:r>
      <w:proofErr w:type="gramStart"/>
      <w:r w:rsidR="00F12F66">
        <w:t>c</w:t>
      </w:r>
      <w:r w:rsidR="00AC24E6">
        <w:t>omplaints</w:t>
      </w:r>
      <w:proofErr w:type="gramEnd"/>
      <w:r w:rsidR="00AC24E6">
        <w:t xml:space="preserve"> and </w:t>
      </w:r>
      <w:r w:rsidR="00314B8E">
        <w:t xml:space="preserve">allegations of </w:t>
      </w:r>
      <w:r w:rsidR="00D052DA">
        <w:t>non-compliance</w:t>
      </w:r>
      <w:bookmarkEnd w:id="43"/>
    </w:p>
    <w:p w14:paraId="2BCC17A1" w14:textId="12B5B94C" w:rsidR="00885A06" w:rsidRDefault="00885A06" w:rsidP="00885A06">
      <w:pPr>
        <w:pStyle w:val="Heading3"/>
        <w:rPr>
          <w:lang w:eastAsia="ja-JP"/>
        </w:rPr>
      </w:pPr>
      <w:bookmarkStart w:id="44" w:name="_Toc131596841"/>
      <w:r>
        <w:rPr>
          <w:lang w:eastAsia="ja-JP"/>
        </w:rPr>
        <w:t>Enquiries</w:t>
      </w:r>
      <w:bookmarkEnd w:id="44"/>
    </w:p>
    <w:p w14:paraId="40FD9DAC" w14:textId="42FC6124" w:rsidR="002B3970" w:rsidRDefault="13155FF7" w:rsidP="00FA3C04">
      <w:pPr>
        <w:rPr>
          <w:lang w:eastAsia="ja-JP"/>
        </w:rPr>
      </w:pPr>
      <w:r w:rsidRPr="3CE7DD6E">
        <w:rPr>
          <w:lang w:eastAsia="ja-JP"/>
        </w:rPr>
        <w:t>Stakeholder</w:t>
      </w:r>
      <w:r w:rsidR="349B7643" w:rsidRPr="3CE7DD6E">
        <w:rPr>
          <w:lang w:eastAsia="ja-JP"/>
        </w:rPr>
        <w:t>s</w:t>
      </w:r>
      <w:r w:rsidRPr="3CE7DD6E">
        <w:rPr>
          <w:lang w:eastAsia="ja-JP"/>
        </w:rPr>
        <w:t xml:space="preserve"> directly involved in live</w:t>
      </w:r>
      <w:r w:rsidR="00235B1E">
        <w:rPr>
          <w:lang w:eastAsia="ja-JP"/>
        </w:rPr>
        <w:t>stock</w:t>
      </w:r>
      <w:r w:rsidRPr="3CE7DD6E">
        <w:rPr>
          <w:lang w:eastAsia="ja-JP"/>
        </w:rPr>
        <w:t xml:space="preserve"> exports, and others with an interest, will make enquiries on various matters to the department.</w:t>
      </w:r>
      <w:r w:rsidR="3A614D69" w:rsidRPr="3CE7DD6E">
        <w:rPr>
          <w:lang w:eastAsia="ja-JP"/>
        </w:rPr>
        <w:t xml:space="preserve"> As </w:t>
      </w:r>
      <w:r w:rsidRPr="3CE7DD6E">
        <w:rPr>
          <w:lang w:eastAsia="ja-JP"/>
        </w:rPr>
        <w:t>with any complex area of admin</w:t>
      </w:r>
      <w:r w:rsidR="52EBC3A1" w:rsidRPr="3CE7DD6E">
        <w:rPr>
          <w:lang w:eastAsia="ja-JP"/>
        </w:rPr>
        <w:t>i</w:t>
      </w:r>
      <w:r w:rsidRPr="3CE7DD6E">
        <w:rPr>
          <w:lang w:eastAsia="ja-JP"/>
        </w:rPr>
        <w:t>stration</w:t>
      </w:r>
      <w:r w:rsidR="3A614D69" w:rsidRPr="3CE7DD6E">
        <w:rPr>
          <w:lang w:eastAsia="ja-JP"/>
        </w:rPr>
        <w:t xml:space="preserve">, there are </w:t>
      </w:r>
      <w:r w:rsidR="2EA1D801" w:rsidRPr="3CE7DD6E">
        <w:rPr>
          <w:lang w:eastAsia="ja-JP"/>
        </w:rPr>
        <w:t>numerous</w:t>
      </w:r>
      <w:r w:rsidR="3A614D69" w:rsidRPr="3CE7DD6E">
        <w:rPr>
          <w:lang w:eastAsia="ja-JP"/>
        </w:rPr>
        <w:t xml:space="preserve"> departmental branches that </w:t>
      </w:r>
      <w:r w:rsidR="33732AA7" w:rsidRPr="3CE7DD6E">
        <w:rPr>
          <w:lang w:eastAsia="ja-JP"/>
        </w:rPr>
        <w:t>may</w:t>
      </w:r>
      <w:r w:rsidRPr="3CE7DD6E">
        <w:rPr>
          <w:lang w:eastAsia="ja-JP"/>
        </w:rPr>
        <w:t xml:space="preserve"> be</w:t>
      </w:r>
      <w:r w:rsidR="3A614D69" w:rsidRPr="3CE7DD6E">
        <w:rPr>
          <w:lang w:eastAsia="ja-JP"/>
        </w:rPr>
        <w:t xml:space="preserve"> responsible for responding. Live Animal Export Branch (LAEB) is the principal policy section for dealing with stakeholder enquiries</w:t>
      </w:r>
      <w:r w:rsidR="5A0416FB" w:rsidRPr="3CE7DD6E">
        <w:rPr>
          <w:lang w:eastAsia="ja-JP"/>
        </w:rPr>
        <w:t xml:space="preserve"> relating to livestock exports</w:t>
      </w:r>
      <w:r w:rsidR="3A614D69" w:rsidRPr="3CE7DD6E">
        <w:rPr>
          <w:lang w:eastAsia="ja-JP"/>
        </w:rPr>
        <w:t>.</w:t>
      </w:r>
    </w:p>
    <w:p w14:paraId="6FEEA10E" w14:textId="7876584B" w:rsidR="00BB3D5B" w:rsidRDefault="00BB3D5B" w:rsidP="00BB3D5B">
      <w:pPr>
        <w:rPr>
          <w:lang w:eastAsia="ja-JP"/>
        </w:rPr>
      </w:pPr>
      <w:r>
        <w:rPr>
          <w:lang w:eastAsia="ja-JP"/>
        </w:rPr>
        <w:t xml:space="preserve">The department has tried multiple branch structures and </w:t>
      </w:r>
      <w:r w:rsidR="00C97508">
        <w:rPr>
          <w:lang w:eastAsia="ja-JP"/>
        </w:rPr>
        <w:t>exporter enquiry</w:t>
      </w:r>
      <w:r w:rsidR="00936455">
        <w:rPr>
          <w:lang w:eastAsia="ja-JP"/>
        </w:rPr>
        <w:t xml:space="preserve"> </w:t>
      </w:r>
      <w:r>
        <w:rPr>
          <w:lang w:eastAsia="ja-JP"/>
        </w:rPr>
        <w:t>models</w:t>
      </w:r>
      <w:r w:rsidR="00AC24E6">
        <w:rPr>
          <w:lang w:eastAsia="ja-JP"/>
        </w:rPr>
        <w:t xml:space="preserve"> to be able to respond to enquiries effectively</w:t>
      </w:r>
      <w:r>
        <w:rPr>
          <w:lang w:eastAsia="ja-JP"/>
        </w:rPr>
        <w:t xml:space="preserve">. Previously, the department had structured its operation teams under markets. For example, the Southeast Asian market. This </w:t>
      </w:r>
      <w:r w:rsidR="00AC24E6">
        <w:rPr>
          <w:lang w:eastAsia="ja-JP"/>
        </w:rPr>
        <w:t>meant that</w:t>
      </w:r>
      <w:r>
        <w:rPr>
          <w:lang w:eastAsia="ja-JP"/>
        </w:rPr>
        <w:t xml:space="preserve"> officers</w:t>
      </w:r>
      <w:r w:rsidR="00AC24E6">
        <w:rPr>
          <w:lang w:eastAsia="ja-JP"/>
        </w:rPr>
        <w:t xml:space="preserve"> could develop</w:t>
      </w:r>
      <w:r>
        <w:rPr>
          <w:lang w:eastAsia="ja-JP"/>
        </w:rPr>
        <w:t xml:space="preserve"> a detailed understanding of </w:t>
      </w:r>
      <w:r w:rsidR="00AC24E6">
        <w:rPr>
          <w:lang w:eastAsia="ja-JP"/>
        </w:rPr>
        <w:t xml:space="preserve">the issues and policies relating to a particular </w:t>
      </w:r>
      <w:r>
        <w:rPr>
          <w:lang w:eastAsia="ja-JP"/>
        </w:rPr>
        <w:t>market</w:t>
      </w:r>
      <w:r w:rsidR="00AC24E6">
        <w:rPr>
          <w:lang w:eastAsia="ja-JP"/>
        </w:rPr>
        <w:t xml:space="preserve">, as well as </w:t>
      </w:r>
      <w:r w:rsidR="00D675A7">
        <w:rPr>
          <w:lang w:eastAsia="ja-JP"/>
        </w:rPr>
        <w:t xml:space="preserve">the exporters </w:t>
      </w:r>
      <w:r w:rsidR="00AC24E6">
        <w:rPr>
          <w:lang w:eastAsia="ja-JP"/>
        </w:rPr>
        <w:t>involved in</w:t>
      </w:r>
      <w:r w:rsidR="00D675A7">
        <w:rPr>
          <w:lang w:eastAsia="ja-JP"/>
        </w:rPr>
        <w:t xml:space="preserve"> those markets</w:t>
      </w:r>
      <w:r>
        <w:rPr>
          <w:lang w:eastAsia="ja-JP"/>
        </w:rPr>
        <w:t>.</w:t>
      </w:r>
      <w:r w:rsidR="00C97508">
        <w:rPr>
          <w:lang w:eastAsia="ja-JP"/>
        </w:rPr>
        <w:t xml:space="preserve"> However, exporters dealing in multiple markets and staff movements meant this model was difficult to sustain over time.</w:t>
      </w:r>
      <w:r>
        <w:rPr>
          <w:lang w:eastAsia="ja-JP"/>
        </w:rPr>
        <w:t xml:space="preserve"> The department also tried using a client contact officer</w:t>
      </w:r>
      <w:r w:rsidR="00D675A7">
        <w:rPr>
          <w:lang w:eastAsia="ja-JP"/>
        </w:rPr>
        <w:t xml:space="preserve"> model where a departmental officer would act</w:t>
      </w:r>
      <w:r>
        <w:rPr>
          <w:lang w:eastAsia="ja-JP"/>
        </w:rPr>
        <w:t xml:space="preserve"> like an account manager</w:t>
      </w:r>
      <w:r w:rsidR="00C97508">
        <w:rPr>
          <w:lang w:eastAsia="ja-JP"/>
        </w:rPr>
        <w:t xml:space="preserve"> for a</w:t>
      </w:r>
      <w:r w:rsidR="00AC24E6">
        <w:rPr>
          <w:lang w:eastAsia="ja-JP"/>
        </w:rPr>
        <w:t>n</w:t>
      </w:r>
      <w:r w:rsidR="00C97508">
        <w:rPr>
          <w:lang w:eastAsia="ja-JP"/>
        </w:rPr>
        <w:t xml:space="preserve"> exporter</w:t>
      </w:r>
      <w:r>
        <w:rPr>
          <w:lang w:eastAsia="ja-JP"/>
        </w:rPr>
        <w:t xml:space="preserve">. This provided consistency and a </w:t>
      </w:r>
      <w:r w:rsidR="00343F06">
        <w:rPr>
          <w:lang w:eastAsia="ja-JP"/>
        </w:rPr>
        <w:t xml:space="preserve">single </w:t>
      </w:r>
      <w:r>
        <w:rPr>
          <w:lang w:eastAsia="ja-JP"/>
        </w:rPr>
        <w:t>point of contact for the exporter</w:t>
      </w:r>
      <w:r w:rsidR="00C97508">
        <w:rPr>
          <w:lang w:eastAsia="ja-JP"/>
        </w:rPr>
        <w:t xml:space="preserve"> but also suffered from continuity issues with staff availability and movement</w:t>
      </w:r>
      <w:r>
        <w:rPr>
          <w:lang w:eastAsia="ja-JP"/>
        </w:rPr>
        <w:t>.</w:t>
      </w:r>
    </w:p>
    <w:p w14:paraId="2112D7DD" w14:textId="1A3841D3" w:rsidR="00BB3D5B" w:rsidRDefault="00BB3D5B" w:rsidP="00BB3D5B">
      <w:pPr>
        <w:rPr>
          <w:lang w:eastAsia="ja-JP"/>
        </w:rPr>
      </w:pPr>
      <w:r>
        <w:rPr>
          <w:lang w:eastAsia="ja-JP"/>
        </w:rPr>
        <w:t xml:space="preserve">The department’s livestock export branch is now structured </w:t>
      </w:r>
      <w:r w:rsidR="00AC24E6">
        <w:rPr>
          <w:lang w:eastAsia="ja-JP"/>
        </w:rPr>
        <w:t>on a</w:t>
      </w:r>
      <w:r>
        <w:rPr>
          <w:lang w:eastAsia="ja-JP"/>
        </w:rPr>
        <w:t xml:space="preserve"> regulatory function</w:t>
      </w:r>
      <w:r w:rsidR="00AC24E6">
        <w:rPr>
          <w:lang w:eastAsia="ja-JP"/>
        </w:rPr>
        <w:t>al basis with enquiries being directed to the appropriate area for response</w:t>
      </w:r>
      <w:r>
        <w:rPr>
          <w:lang w:eastAsia="ja-JP"/>
        </w:rPr>
        <w:t>. For example, licences, operations, voyage management and ESCAS.</w:t>
      </w:r>
    </w:p>
    <w:p w14:paraId="1267363D" w14:textId="75211A38" w:rsidR="003359A2" w:rsidRDefault="000355F9" w:rsidP="00090FDD">
      <w:pPr>
        <w:rPr>
          <w:lang w:eastAsia="ja-JP"/>
        </w:rPr>
      </w:pPr>
      <w:r>
        <w:rPr>
          <w:lang w:eastAsia="ja-JP"/>
        </w:rPr>
        <w:t>T</w:t>
      </w:r>
      <w:r w:rsidR="00DE1F2C">
        <w:rPr>
          <w:lang w:eastAsia="ja-JP"/>
        </w:rPr>
        <w:t xml:space="preserve">he department has a </w:t>
      </w:r>
      <w:r w:rsidR="00DA5DEF">
        <w:rPr>
          <w:lang w:eastAsia="ja-JP"/>
        </w:rPr>
        <w:t xml:space="preserve">general </w:t>
      </w:r>
      <w:r w:rsidR="00610916">
        <w:rPr>
          <w:lang w:eastAsia="ja-JP"/>
        </w:rPr>
        <w:t>e</w:t>
      </w:r>
      <w:r w:rsidR="00DA5DEF">
        <w:rPr>
          <w:lang w:eastAsia="ja-JP"/>
        </w:rPr>
        <w:t>nquiry</w:t>
      </w:r>
      <w:r w:rsidR="00AC24E6">
        <w:rPr>
          <w:lang w:eastAsia="ja-JP"/>
        </w:rPr>
        <w:t xml:space="preserve"> phone number displayed on its website</w:t>
      </w:r>
      <w:r w:rsidR="00AE02CF">
        <w:rPr>
          <w:lang w:eastAsia="ja-JP"/>
        </w:rPr>
        <w:t xml:space="preserve"> </w:t>
      </w:r>
      <w:r w:rsidR="00DA5DEF">
        <w:rPr>
          <w:lang w:eastAsia="ja-JP"/>
        </w:rPr>
        <w:t>(1800 900 090)</w:t>
      </w:r>
      <w:r w:rsidR="00AC24E6">
        <w:rPr>
          <w:lang w:eastAsia="ja-JP"/>
        </w:rPr>
        <w:t xml:space="preserve">. </w:t>
      </w:r>
      <w:r w:rsidR="003359A2">
        <w:rPr>
          <w:lang w:eastAsia="ja-JP"/>
        </w:rPr>
        <w:t xml:space="preserve">Calls to the general </w:t>
      </w:r>
      <w:r w:rsidR="00610916">
        <w:rPr>
          <w:lang w:eastAsia="ja-JP"/>
        </w:rPr>
        <w:t>e</w:t>
      </w:r>
      <w:r w:rsidR="003359A2">
        <w:rPr>
          <w:lang w:eastAsia="ja-JP"/>
        </w:rPr>
        <w:t>nquir</w:t>
      </w:r>
      <w:r w:rsidR="00B620BF">
        <w:rPr>
          <w:lang w:eastAsia="ja-JP"/>
        </w:rPr>
        <w:t>y</w:t>
      </w:r>
      <w:r w:rsidR="003359A2">
        <w:rPr>
          <w:lang w:eastAsia="ja-JP"/>
        </w:rPr>
        <w:t xml:space="preserve"> number are transferred to </w:t>
      </w:r>
      <w:r w:rsidR="00BD4DC3">
        <w:rPr>
          <w:lang w:eastAsia="ja-JP"/>
        </w:rPr>
        <w:t xml:space="preserve">a </w:t>
      </w:r>
      <w:r w:rsidR="003359A2">
        <w:rPr>
          <w:lang w:eastAsia="ja-JP"/>
        </w:rPr>
        <w:t>subject matter expert</w:t>
      </w:r>
      <w:r w:rsidR="00BD4DC3">
        <w:rPr>
          <w:lang w:eastAsia="ja-JP"/>
        </w:rPr>
        <w:t xml:space="preserve"> if available</w:t>
      </w:r>
      <w:r w:rsidR="00244FA4">
        <w:rPr>
          <w:lang w:eastAsia="ja-JP"/>
        </w:rPr>
        <w:t>, or if not</w:t>
      </w:r>
      <w:r w:rsidR="004954C6">
        <w:rPr>
          <w:lang w:eastAsia="ja-JP"/>
        </w:rPr>
        <w:t>,</w:t>
      </w:r>
      <w:r w:rsidR="00244FA4">
        <w:rPr>
          <w:lang w:eastAsia="ja-JP"/>
        </w:rPr>
        <w:t xml:space="preserve"> a subject matter expert will return the call when available</w:t>
      </w:r>
      <w:r w:rsidR="003359A2">
        <w:rPr>
          <w:lang w:eastAsia="ja-JP"/>
        </w:rPr>
        <w:t>.</w:t>
      </w:r>
      <w:r w:rsidR="00DE1F2C">
        <w:rPr>
          <w:lang w:eastAsia="ja-JP"/>
        </w:rPr>
        <w:t xml:space="preserve"> </w:t>
      </w:r>
      <w:r w:rsidR="00B9616F">
        <w:rPr>
          <w:lang w:eastAsia="ja-JP"/>
        </w:rPr>
        <w:t>In the last year</w:t>
      </w:r>
      <w:r w:rsidR="00E304AC">
        <w:rPr>
          <w:lang w:eastAsia="ja-JP"/>
        </w:rPr>
        <w:t>,</w:t>
      </w:r>
      <w:r w:rsidR="00B9616F">
        <w:rPr>
          <w:lang w:eastAsia="ja-JP"/>
        </w:rPr>
        <w:t xml:space="preserve"> there </w:t>
      </w:r>
      <w:r w:rsidR="003908A4">
        <w:rPr>
          <w:lang w:eastAsia="ja-JP"/>
        </w:rPr>
        <w:t>were</w:t>
      </w:r>
      <w:r w:rsidR="00B9616F">
        <w:rPr>
          <w:lang w:eastAsia="ja-JP"/>
        </w:rPr>
        <w:t xml:space="preserve"> 5 calls to </w:t>
      </w:r>
      <w:r w:rsidR="003359A2">
        <w:rPr>
          <w:lang w:eastAsia="ja-JP"/>
        </w:rPr>
        <w:t xml:space="preserve">general </w:t>
      </w:r>
      <w:r w:rsidR="00373C78">
        <w:rPr>
          <w:lang w:eastAsia="ja-JP"/>
        </w:rPr>
        <w:t>e</w:t>
      </w:r>
      <w:r w:rsidR="003359A2">
        <w:rPr>
          <w:lang w:eastAsia="ja-JP"/>
        </w:rPr>
        <w:t>nquir</w:t>
      </w:r>
      <w:r w:rsidR="00B620BF">
        <w:rPr>
          <w:lang w:eastAsia="ja-JP"/>
        </w:rPr>
        <w:t>ies</w:t>
      </w:r>
      <w:r w:rsidR="00B9616F">
        <w:rPr>
          <w:lang w:eastAsia="ja-JP"/>
        </w:rPr>
        <w:t xml:space="preserve"> in relation to livestock. The department maintains a </w:t>
      </w:r>
      <w:r w:rsidR="003908A4">
        <w:rPr>
          <w:lang w:eastAsia="ja-JP"/>
        </w:rPr>
        <w:t>call</w:t>
      </w:r>
      <w:r w:rsidR="00B9616F">
        <w:rPr>
          <w:lang w:eastAsia="ja-JP"/>
        </w:rPr>
        <w:t xml:space="preserve"> regist</w:t>
      </w:r>
      <w:r w:rsidR="003908A4">
        <w:rPr>
          <w:lang w:eastAsia="ja-JP"/>
        </w:rPr>
        <w:t>e</w:t>
      </w:r>
      <w:r w:rsidR="00B9616F">
        <w:rPr>
          <w:lang w:eastAsia="ja-JP"/>
        </w:rPr>
        <w:t>r with a brief explanation on the purpose of the call.</w:t>
      </w:r>
    </w:p>
    <w:p w14:paraId="17B7F78A" w14:textId="1C7EE1F8" w:rsidR="008D14A2" w:rsidRDefault="3B8C56A5" w:rsidP="00090FDD">
      <w:pPr>
        <w:rPr>
          <w:lang w:eastAsia="ja-JP"/>
        </w:rPr>
      </w:pPr>
      <w:bookmarkStart w:id="45" w:name="_Hlk130566194"/>
      <w:r w:rsidRPr="3CE7DD6E">
        <w:rPr>
          <w:lang w:eastAsia="ja-JP"/>
        </w:rPr>
        <w:t>There is also a live</w:t>
      </w:r>
      <w:r w:rsidR="00907350">
        <w:rPr>
          <w:lang w:eastAsia="ja-JP"/>
        </w:rPr>
        <w:t xml:space="preserve"> animal</w:t>
      </w:r>
      <w:r w:rsidR="00496048">
        <w:rPr>
          <w:lang w:eastAsia="ja-JP"/>
        </w:rPr>
        <w:t xml:space="preserve"> </w:t>
      </w:r>
      <w:r w:rsidRPr="3CE7DD6E">
        <w:rPr>
          <w:lang w:eastAsia="ja-JP"/>
        </w:rPr>
        <w:t>general information phone line displayed on the website</w:t>
      </w:r>
      <w:r w:rsidR="00AC18E0">
        <w:rPr>
          <w:lang w:eastAsia="ja-JP"/>
        </w:rPr>
        <w:t xml:space="preserve"> </w:t>
      </w:r>
      <w:r w:rsidRPr="3CE7DD6E">
        <w:rPr>
          <w:lang w:eastAsia="ja-JP"/>
        </w:rPr>
        <w:t>(02</w:t>
      </w:r>
      <w:r w:rsidR="00907350">
        <w:rPr>
          <w:lang w:eastAsia="ja-JP"/>
        </w:rPr>
        <w:t> </w:t>
      </w:r>
      <w:r w:rsidRPr="3CE7DD6E">
        <w:rPr>
          <w:lang w:eastAsia="ja-JP"/>
        </w:rPr>
        <w:t>6272</w:t>
      </w:r>
      <w:r w:rsidR="00907350">
        <w:rPr>
          <w:lang w:eastAsia="ja-JP"/>
        </w:rPr>
        <w:t> </w:t>
      </w:r>
      <w:r w:rsidRPr="3CE7DD6E">
        <w:rPr>
          <w:lang w:eastAsia="ja-JP"/>
        </w:rPr>
        <w:t xml:space="preserve">4581). </w:t>
      </w:r>
      <w:r w:rsidR="5DDCB33E" w:rsidRPr="3CE7DD6E">
        <w:rPr>
          <w:lang w:eastAsia="ja-JP"/>
        </w:rPr>
        <w:t>The live</w:t>
      </w:r>
      <w:r w:rsidR="00907350">
        <w:rPr>
          <w:lang w:eastAsia="ja-JP"/>
        </w:rPr>
        <w:t xml:space="preserve"> animal</w:t>
      </w:r>
      <w:r w:rsidR="5DDCB33E" w:rsidRPr="3CE7DD6E">
        <w:rPr>
          <w:lang w:eastAsia="ja-JP"/>
        </w:rPr>
        <w:t xml:space="preserve"> general information line has been operating for more than 15 years. </w:t>
      </w:r>
      <w:r w:rsidR="38E337A6" w:rsidRPr="3CE7DD6E">
        <w:rPr>
          <w:lang w:eastAsia="ja-JP"/>
        </w:rPr>
        <w:t>L</w:t>
      </w:r>
      <w:r w:rsidR="4317CBC6" w:rsidRPr="3CE7DD6E">
        <w:rPr>
          <w:lang w:eastAsia="ja-JP"/>
        </w:rPr>
        <w:t>ive</w:t>
      </w:r>
      <w:r w:rsidR="00530D7A">
        <w:rPr>
          <w:lang w:eastAsia="ja-JP"/>
        </w:rPr>
        <w:t xml:space="preserve"> animal</w:t>
      </w:r>
      <w:r w:rsidR="4317CBC6" w:rsidRPr="3CE7DD6E">
        <w:rPr>
          <w:lang w:eastAsia="ja-JP"/>
        </w:rPr>
        <w:t xml:space="preserve"> export</w:t>
      </w:r>
      <w:r w:rsidR="38E337A6" w:rsidRPr="3CE7DD6E">
        <w:rPr>
          <w:lang w:eastAsia="ja-JP"/>
        </w:rPr>
        <w:t xml:space="preserve"> staff answ</w:t>
      </w:r>
      <w:r w:rsidR="5DDCB33E" w:rsidRPr="3CE7DD6E">
        <w:rPr>
          <w:lang w:eastAsia="ja-JP"/>
        </w:rPr>
        <w:t>er</w:t>
      </w:r>
      <w:r w:rsidR="38E337A6" w:rsidRPr="3CE7DD6E">
        <w:rPr>
          <w:lang w:eastAsia="ja-JP"/>
        </w:rPr>
        <w:t xml:space="preserve"> </w:t>
      </w:r>
      <w:r w:rsidR="59684BEF" w:rsidRPr="3CE7DD6E">
        <w:rPr>
          <w:lang w:eastAsia="ja-JP"/>
        </w:rPr>
        <w:t>e</w:t>
      </w:r>
      <w:r w:rsidR="38E337A6" w:rsidRPr="3CE7DD6E">
        <w:rPr>
          <w:lang w:eastAsia="ja-JP"/>
        </w:rPr>
        <w:t xml:space="preserve">nquiries </w:t>
      </w:r>
      <w:r w:rsidR="5DDCB33E" w:rsidRPr="3CE7DD6E">
        <w:rPr>
          <w:lang w:eastAsia="ja-JP"/>
        </w:rPr>
        <w:t>during business hours</w:t>
      </w:r>
      <w:r w:rsidR="13713F46" w:rsidRPr="3CE7DD6E">
        <w:rPr>
          <w:lang w:eastAsia="ja-JP"/>
        </w:rPr>
        <w:t xml:space="preserve"> –</w:t>
      </w:r>
      <w:r w:rsidR="5DDCB33E" w:rsidRPr="3CE7DD6E">
        <w:rPr>
          <w:lang w:eastAsia="ja-JP"/>
        </w:rPr>
        <w:t xml:space="preserve"> 8:30am</w:t>
      </w:r>
      <w:r w:rsidR="3C1DF443" w:rsidRPr="3CE7DD6E">
        <w:rPr>
          <w:lang w:eastAsia="ja-JP"/>
        </w:rPr>
        <w:t xml:space="preserve"> </w:t>
      </w:r>
      <w:r w:rsidR="13713F46" w:rsidRPr="3CE7DD6E">
        <w:rPr>
          <w:lang w:eastAsia="ja-JP"/>
        </w:rPr>
        <w:t>to</w:t>
      </w:r>
      <w:r w:rsidR="3C1DF443" w:rsidRPr="3CE7DD6E">
        <w:rPr>
          <w:lang w:eastAsia="ja-JP"/>
        </w:rPr>
        <w:t xml:space="preserve"> 12:30pm and 1:30pm </w:t>
      </w:r>
      <w:r w:rsidR="13713F46" w:rsidRPr="3CE7DD6E">
        <w:rPr>
          <w:lang w:eastAsia="ja-JP"/>
        </w:rPr>
        <w:t>to</w:t>
      </w:r>
      <w:r w:rsidR="59684BEF" w:rsidRPr="3CE7DD6E">
        <w:rPr>
          <w:lang w:eastAsia="ja-JP"/>
        </w:rPr>
        <w:t xml:space="preserve"> </w:t>
      </w:r>
      <w:r w:rsidR="3C1DF443" w:rsidRPr="3CE7DD6E">
        <w:rPr>
          <w:lang w:eastAsia="ja-JP"/>
        </w:rPr>
        <w:t>5</w:t>
      </w:r>
      <w:r w:rsidR="5DDCB33E" w:rsidRPr="3CE7DD6E">
        <w:rPr>
          <w:lang w:eastAsia="ja-JP"/>
        </w:rPr>
        <w:t>pm, Monday to Friday</w:t>
      </w:r>
      <w:r w:rsidR="5BA83F48" w:rsidRPr="3CE7DD6E">
        <w:rPr>
          <w:lang w:eastAsia="ja-JP"/>
        </w:rPr>
        <w:t xml:space="preserve"> </w:t>
      </w:r>
      <w:r w:rsidR="00907350">
        <w:rPr>
          <w:lang w:eastAsia="ja-JP"/>
        </w:rPr>
        <w:t>Canberra time</w:t>
      </w:r>
      <w:r w:rsidR="5DDCB33E" w:rsidRPr="3CE7DD6E">
        <w:rPr>
          <w:lang w:eastAsia="ja-JP"/>
        </w:rPr>
        <w:t xml:space="preserve">. </w:t>
      </w:r>
      <w:r w:rsidR="7B34D6E0" w:rsidRPr="3CE7DD6E">
        <w:rPr>
          <w:lang w:eastAsia="ja-JP"/>
        </w:rPr>
        <w:t xml:space="preserve">The department shut down this </w:t>
      </w:r>
      <w:r w:rsidR="3C1DF443" w:rsidRPr="3CE7DD6E">
        <w:rPr>
          <w:lang w:eastAsia="ja-JP"/>
        </w:rPr>
        <w:t>service</w:t>
      </w:r>
      <w:r w:rsidR="7B34D6E0" w:rsidRPr="3CE7DD6E">
        <w:rPr>
          <w:lang w:eastAsia="ja-JP"/>
        </w:rPr>
        <w:t xml:space="preserve"> </w:t>
      </w:r>
      <w:r w:rsidR="006F69E0">
        <w:rPr>
          <w:lang w:eastAsia="ja-JP"/>
        </w:rPr>
        <w:t xml:space="preserve">in May 2020 </w:t>
      </w:r>
      <w:r w:rsidR="0069143B">
        <w:rPr>
          <w:lang w:eastAsia="ja-JP"/>
        </w:rPr>
        <w:t>at the start of the</w:t>
      </w:r>
      <w:r w:rsidR="7B34D6E0" w:rsidRPr="3CE7DD6E">
        <w:rPr>
          <w:lang w:eastAsia="ja-JP"/>
        </w:rPr>
        <w:t xml:space="preserve"> COVID-19 pandemic as there was no ability to divert calls.</w:t>
      </w:r>
      <w:r w:rsidR="0008465E">
        <w:rPr>
          <w:lang w:eastAsia="ja-JP"/>
        </w:rPr>
        <w:t xml:space="preserve"> It was reactivated in July 2020. It was then shutdown from August 2021 until May 2022. </w:t>
      </w:r>
      <w:r w:rsidR="006F69E0" w:rsidRPr="3CE7DD6E">
        <w:rPr>
          <w:lang w:eastAsia="ja-JP"/>
        </w:rPr>
        <w:t>The department notified industry of this during a teleconference, and there was a voice message to direct any enquiries through an email address. However, other channels for notification were not utilised leaving some industry participants unaware of the changed enquiry processes.</w:t>
      </w:r>
      <w:r w:rsidR="00BA6AE6">
        <w:rPr>
          <w:lang w:eastAsia="ja-JP"/>
        </w:rPr>
        <w:t xml:space="preserve"> </w:t>
      </w:r>
      <w:r w:rsidR="528DFB04" w:rsidRPr="3CE7DD6E">
        <w:rPr>
          <w:lang w:eastAsia="ja-JP"/>
        </w:rPr>
        <w:t>T</w:t>
      </w:r>
      <w:r w:rsidR="135838E7" w:rsidRPr="3CE7DD6E">
        <w:rPr>
          <w:lang w:eastAsia="ja-JP"/>
        </w:rPr>
        <w:t>he</w:t>
      </w:r>
      <w:r w:rsidR="6550A673" w:rsidRPr="3CE7DD6E">
        <w:rPr>
          <w:lang w:eastAsia="ja-JP"/>
        </w:rPr>
        <w:t xml:space="preserve"> livestock</w:t>
      </w:r>
      <w:r w:rsidR="135838E7" w:rsidRPr="3CE7DD6E">
        <w:rPr>
          <w:lang w:eastAsia="ja-JP"/>
        </w:rPr>
        <w:t xml:space="preserve"> general </w:t>
      </w:r>
      <w:r w:rsidR="59684BEF" w:rsidRPr="3CE7DD6E">
        <w:rPr>
          <w:lang w:eastAsia="ja-JP"/>
        </w:rPr>
        <w:t xml:space="preserve">information </w:t>
      </w:r>
      <w:r w:rsidR="135838E7" w:rsidRPr="3CE7DD6E">
        <w:rPr>
          <w:lang w:eastAsia="ja-JP"/>
        </w:rPr>
        <w:t>phone line does not have a registry</w:t>
      </w:r>
      <w:r w:rsidR="3C1DF443" w:rsidRPr="3CE7DD6E">
        <w:rPr>
          <w:lang w:eastAsia="ja-JP"/>
        </w:rPr>
        <w:t>. Calls are not</w:t>
      </w:r>
      <w:r w:rsidR="40748A70" w:rsidRPr="3CE7DD6E">
        <w:rPr>
          <w:lang w:eastAsia="ja-JP"/>
        </w:rPr>
        <w:t xml:space="preserve"> recorded for training </w:t>
      </w:r>
      <w:r w:rsidR="3C1DF443" w:rsidRPr="3CE7DD6E">
        <w:rPr>
          <w:lang w:eastAsia="ja-JP"/>
        </w:rPr>
        <w:t xml:space="preserve">or any other </w:t>
      </w:r>
      <w:r w:rsidR="40748A70" w:rsidRPr="3CE7DD6E">
        <w:rPr>
          <w:lang w:eastAsia="ja-JP"/>
        </w:rPr>
        <w:t>purposes</w:t>
      </w:r>
      <w:r w:rsidR="135838E7" w:rsidRPr="3CE7DD6E">
        <w:rPr>
          <w:lang w:eastAsia="ja-JP"/>
        </w:rPr>
        <w:t>.</w:t>
      </w:r>
    </w:p>
    <w:p w14:paraId="1995EB36" w14:textId="55822405" w:rsidR="00514BC1" w:rsidRDefault="00514BC1" w:rsidP="006505EE">
      <w:pPr>
        <w:pStyle w:val="Heading3"/>
        <w:rPr>
          <w:lang w:eastAsia="ja-JP"/>
        </w:rPr>
      </w:pPr>
      <w:bookmarkStart w:id="46" w:name="_Toc131596842"/>
      <w:bookmarkEnd w:id="45"/>
      <w:r>
        <w:rPr>
          <w:lang w:eastAsia="ja-JP"/>
        </w:rPr>
        <w:t>Complaints</w:t>
      </w:r>
      <w:bookmarkEnd w:id="46"/>
    </w:p>
    <w:p w14:paraId="286794A5" w14:textId="35276C72" w:rsidR="00514BC1" w:rsidRDefault="00514BC1" w:rsidP="00090FDD">
      <w:pPr>
        <w:rPr>
          <w:lang w:eastAsia="ja-JP"/>
        </w:rPr>
      </w:pPr>
      <w:r w:rsidRPr="00DD3F4A">
        <w:rPr>
          <w:lang w:eastAsia="ja-JP"/>
        </w:rPr>
        <w:t>The department receives complaints from all stakeholder sectors. The type of complaint and how it is received determines wh</w:t>
      </w:r>
      <w:r>
        <w:rPr>
          <w:lang w:eastAsia="ja-JP"/>
        </w:rPr>
        <w:t>at section of</w:t>
      </w:r>
      <w:r w:rsidRPr="00DD3F4A">
        <w:rPr>
          <w:lang w:eastAsia="ja-JP"/>
        </w:rPr>
        <w:t xml:space="preserve"> the department manages the response.</w:t>
      </w:r>
    </w:p>
    <w:p w14:paraId="51F81928" w14:textId="6CA5307A" w:rsidR="00BB051A" w:rsidRDefault="000E54DD" w:rsidP="00090FDD">
      <w:pPr>
        <w:rPr>
          <w:lang w:eastAsia="ja-JP"/>
        </w:rPr>
      </w:pPr>
      <w:r w:rsidRPr="000E54DD">
        <w:rPr>
          <w:lang w:eastAsia="ja-JP"/>
        </w:rPr>
        <w:lastRenderedPageBreak/>
        <w:t xml:space="preserve">A complaint received </w:t>
      </w:r>
      <w:r w:rsidR="00E263F6">
        <w:rPr>
          <w:lang w:eastAsia="ja-JP"/>
        </w:rPr>
        <w:t>in</w:t>
      </w:r>
      <w:r w:rsidRPr="000E54DD">
        <w:rPr>
          <w:lang w:eastAsia="ja-JP"/>
        </w:rPr>
        <w:t xml:space="preserve"> ministerial correspondence</w:t>
      </w:r>
      <w:r w:rsidR="00E263F6">
        <w:rPr>
          <w:lang w:eastAsia="ja-JP"/>
        </w:rPr>
        <w:t xml:space="preserve"> regarding live</w:t>
      </w:r>
      <w:r w:rsidR="00936455">
        <w:rPr>
          <w:lang w:eastAsia="ja-JP"/>
        </w:rPr>
        <w:t>stock</w:t>
      </w:r>
      <w:r w:rsidR="00E263F6">
        <w:rPr>
          <w:lang w:eastAsia="ja-JP"/>
        </w:rPr>
        <w:t xml:space="preserve"> exports</w:t>
      </w:r>
      <w:r w:rsidRPr="000E54DD">
        <w:rPr>
          <w:lang w:eastAsia="ja-JP"/>
        </w:rPr>
        <w:t xml:space="preserve"> is re</w:t>
      </w:r>
      <w:r w:rsidR="00E263F6">
        <w:rPr>
          <w:lang w:eastAsia="ja-JP"/>
        </w:rPr>
        <w:t>ferred</w:t>
      </w:r>
      <w:r w:rsidRPr="000E54DD">
        <w:rPr>
          <w:lang w:eastAsia="ja-JP"/>
        </w:rPr>
        <w:t xml:space="preserve"> </w:t>
      </w:r>
      <w:r w:rsidR="00E263F6">
        <w:rPr>
          <w:lang w:eastAsia="ja-JP"/>
        </w:rPr>
        <w:t>to</w:t>
      </w:r>
      <w:r w:rsidRPr="000E54DD">
        <w:rPr>
          <w:lang w:eastAsia="ja-JP"/>
        </w:rPr>
        <w:t xml:space="preserve"> the LAE </w:t>
      </w:r>
      <w:r w:rsidR="003949E1">
        <w:rPr>
          <w:lang w:eastAsia="ja-JP"/>
        </w:rPr>
        <w:t>c</w:t>
      </w:r>
      <w:r w:rsidRPr="000E54DD">
        <w:rPr>
          <w:lang w:eastAsia="ja-JP"/>
        </w:rPr>
        <w:t>oordination team</w:t>
      </w:r>
      <w:r>
        <w:rPr>
          <w:lang w:eastAsia="ja-JP"/>
        </w:rPr>
        <w:t>.</w:t>
      </w:r>
      <w:r w:rsidRPr="000E54DD">
        <w:rPr>
          <w:lang w:eastAsia="ja-JP"/>
        </w:rPr>
        <w:t xml:space="preserve"> </w:t>
      </w:r>
      <w:r>
        <w:rPr>
          <w:lang w:eastAsia="ja-JP"/>
        </w:rPr>
        <w:t>A</w:t>
      </w:r>
      <w:r w:rsidRPr="000E54DD">
        <w:rPr>
          <w:lang w:eastAsia="ja-JP"/>
        </w:rPr>
        <w:t xml:space="preserve"> </w:t>
      </w:r>
      <w:r w:rsidR="00E263F6">
        <w:rPr>
          <w:lang w:eastAsia="ja-JP"/>
        </w:rPr>
        <w:t xml:space="preserve">draft </w:t>
      </w:r>
      <w:r w:rsidRPr="000E54DD">
        <w:rPr>
          <w:lang w:eastAsia="ja-JP"/>
        </w:rPr>
        <w:t>response is prepared using information provided by the</w:t>
      </w:r>
      <w:r>
        <w:rPr>
          <w:lang w:eastAsia="ja-JP"/>
        </w:rPr>
        <w:t xml:space="preserve"> relevant</w:t>
      </w:r>
      <w:r w:rsidRPr="000E54DD">
        <w:rPr>
          <w:lang w:eastAsia="ja-JP"/>
        </w:rPr>
        <w:t xml:space="preserve"> section</w:t>
      </w:r>
      <w:r>
        <w:rPr>
          <w:lang w:eastAsia="ja-JP"/>
        </w:rPr>
        <w:t>.</w:t>
      </w:r>
    </w:p>
    <w:p w14:paraId="42B4FDB4" w14:textId="5651C1FB" w:rsidR="008C6E79" w:rsidRDefault="008C6E79" w:rsidP="00090FDD">
      <w:pPr>
        <w:rPr>
          <w:lang w:eastAsia="ja-JP"/>
        </w:rPr>
      </w:pPr>
      <w:r>
        <w:rPr>
          <w:lang w:eastAsia="ja-JP"/>
        </w:rPr>
        <w:t xml:space="preserve">The department’s response to complaints operates within the </w:t>
      </w:r>
      <w:r w:rsidR="00E263F6">
        <w:rPr>
          <w:lang w:eastAsia="ja-JP"/>
        </w:rPr>
        <w:t xml:space="preserve">general policy and approach to complaints in the </w:t>
      </w:r>
      <w:r w:rsidR="00D9342B">
        <w:rPr>
          <w:lang w:eastAsia="ja-JP"/>
        </w:rPr>
        <w:t>Australian Government</w:t>
      </w:r>
      <w:r w:rsidR="00E263F6">
        <w:rPr>
          <w:lang w:eastAsia="ja-JP"/>
        </w:rPr>
        <w:t xml:space="preserve"> and is also in accordance with </w:t>
      </w:r>
      <w:r>
        <w:rPr>
          <w:lang w:eastAsia="ja-JP"/>
        </w:rPr>
        <w:t>Australian public service values and code of conduct in practice (APSC 2021).</w:t>
      </w:r>
      <w:r w:rsidR="00E263F6">
        <w:rPr>
          <w:lang w:eastAsia="ja-JP"/>
        </w:rPr>
        <w:t xml:space="preserve"> Stakeholders did not raise any concerns with the inspector-general regarding complaints handling.</w:t>
      </w:r>
    </w:p>
    <w:p w14:paraId="463A532F" w14:textId="13B8C1CD" w:rsidR="00340FF9" w:rsidRDefault="00340FF9" w:rsidP="00D429D9">
      <w:pPr>
        <w:pStyle w:val="Heading3"/>
        <w:rPr>
          <w:lang w:eastAsia="ja-JP"/>
        </w:rPr>
      </w:pPr>
      <w:bookmarkStart w:id="47" w:name="_Toc131596843"/>
      <w:r>
        <w:rPr>
          <w:lang w:eastAsia="ja-JP"/>
        </w:rPr>
        <w:t>Allegations of non-compliance</w:t>
      </w:r>
      <w:bookmarkEnd w:id="47"/>
    </w:p>
    <w:p w14:paraId="4EC5E3DE" w14:textId="7569AB02" w:rsidR="00100641" w:rsidRDefault="00340FF9" w:rsidP="00C007F0">
      <w:pPr>
        <w:rPr>
          <w:lang w:eastAsia="ja-JP"/>
        </w:rPr>
      </w:pPr>
      <w:r>
        <w:rPr>
          <w:lang w:eastAsia="ja-JP"/>
        </w:rPr>
        <w:t>Allegations of non-compliance are dealt with separately for each section</w:t>
      </w:r>
      <w:r w:rsidR="00D429D9">
        <w:rPr>
          <w:lang w:eastAsia="ja-JP"/>
        </w:rPr>
        <w:t xml:space="preserve"> of the livestock export process. The allegations originate from third party observers or others working in the livestock export industry. </w:t>
      </w:r>
      <w:r w:rsidR="00100641">
        <w:rPr>
          <w:lang w:eastAsia="ja-JP"/>
        </w:rPr>
        <w:t>The department investigates all allegations of non-compliance.</w:t>
      </w:r>
    </w:p>
    <w:p w14:paraId="10D2EE8E" w14:textId="14EB5C01" w:rsidR="006E1B11" w:rsidRDefault="00100641" w:rsidP="00C007F0">
      <w:pPr>
        <w:rPr>
          <w:lang w:eastAsia="ja-JP"/>
        </w:rPr>
      </w:pPr>
      <w:proofErr w:type="gramStart"/>
      <w:r>
        <w:rPr>
          <w:lang w:eastAsia="ja-JP"/>
        </w:rPr>
        <w:t>The majority of</w:t>
      </w:r>
      <w:proofErr w:type="gramEnd"/>
      <w:r>
        <w:rPr>
          <w:lang w:eastAsia="ja-JP"/>
        </w:rPr>
        <w:t xml:space="preserve"> allegations of non-compliance relate to ESCAS. </w:t>
      </w:r>
      <w:r w:rsidR="00D429D9">
        <w:rPr>
          <w:lang w:eastAsia="ja-JP"/>
        </w:rPr>
        <w:t>The inspector-general’s review into ESCAS indicated that over 46% of non-compliance allegations came from third parties.</w:t>
      </w:r>
      <w:r w:rsidR="00D429D9" w:rsidRPr="00D429D9">
        <w:rPr>
          <w:lang w:eastAsia="ja-JP"/>
        </w:rPr>
        <w:t xml:space="preserve"> </w:t>
      </w:r>
      <w:r>
        <w:rPr>
          <w:lang w:eastAsia="ja-JP"/>
        </w:rPr>
        <w:t>Most</w:t>
      </w:r>
      <w:r w:rsidR="00D429D9">
        <w:rPr>
          <w:lang w:eastAsia="ja-JP"/>
        </w:rPr>
        <w:t xml:space="preserve"> of</w:t>
      </w:r>
      <w:r w:rsidR="00F12F66">
        <w:rPr>
          <w:lang w:eastAsia="ja-JP"/>
        </w:rPr>
        <w:t xml:space="preserve"> these</w:t>
      </w:r>
      <w:r w:rsidR="00D429D9">
        <w:rPr>
          <w:lang w:eastAsia="ja-JP"/>
        </w:rPr>
        <w:t xml:space="preserve"> allegations are related to </w:t>
      </w:r>
      <w:r w:rsidR="006E1B11">
        <w:rPr>
          <w:lang w:eastAsia="ja-JP"/>
        </w:rPr>
        <w:t xml:space="preserve">animal welfare </w:t>
      </w:r>
      <w:r w:rsidR="00D429D9">
        <w:rPr>
          <w:lang w:eastAsia="ja-JP"/>
        </w:rPr>
        <w:t>non-compliance in overseas facilities such as abattoirs and feedlots</w:t>
      </w:r>
      <w:r w:rsidR="00FF6BFA">
        <w:rPr>
          <w:lang w:eastAsia="ja-JP"/>
        </w:rPr>
        <w:t xml:space="preserve"> (IGLAE 2021a)</w:t>
      </w:r>
      <w:r w:rsidR="00D429D9">
        <w:rPr>
          <w:lang w:eastAsia="ja-JP"/>
        </w:rPr>
        <w:t>.</w:t>
      </w:r>
    </w:p>
    <w:p w14:paraId="31EF8222" w14:textId="5D641039" w:rsidR="00340FF9" w:rsidRPr="008C1177" w:rsidRDefault="793ABCAC" w:rsidP="00C007F0">
      <w:pPr>
        <w:rPr>
          <w:lang w:eastAsia="ja-JP"/>
        </w:rPr>
      </w:pPr>
      <w:r w:rsidRPr="3CE7DD6E">
        <w:rPr>
          <w:lang w:eastAsia="ja-JP"/>
        </w:rPr>
        <w:t xml:space="preserve">One of the most significant allegations of non-compliance came from a third party that was provided video footage by a </w:t>
      </w:r>
      <w:r w:rsidR="00BA6AE6">
        <w:rPr>
          <w:lang w:eastAsia="ja-JP"/>
        </w:rPr>
        <w:t>crew member</w:t>
      </w:r>
      <w:r w:rsidR="003C5118" w:rsidRPr="3CE7DD6E">
        <w:rPr>
          <w:lang w:eastAsia="ja-JP"/>
        </w:rPr>
        <w:t xml:space="preserve"> </w:t>
      </w:r>
      <w:r w:rsidRPr="3CE7DD6E">
        <w:rPr>
          <w:lang w:eastAsia="ja-JP"/>
        </w:rPr>
        <w:t xml:space="preserve">working on an export vessel, the </w:t>
      </w:r>
      <w:r w:rsidRPr="3CE7DD6E">
        <w:rPr>
          <w:rStyle w:val="Emphasis"/>
        </w:rPr>
        <w:t>MV Awassi Express</w:t>
      </w:r>
      <w:r w:rsidRPr="3CE7DD6E">
        <w:rPr>
          <w:lang w:eastAsia="ja-JP"/>
        </w:rPr>
        <w:t xml:space="preserve">. These allegations led to considerable reform of the livestock export industry, including the introduction of the </w:t>
      </w:r>
      <w:r w:rsidR="00141734">
        <w:rPr>
          <w:lang w:eastAsia="ja-JP"/>
        </w:rPr>
        <w:t>I</w:t>
      </w:r>
      <w:r w:rsidRPr="3CE7DD6E">
        <w:rPr>
          <w:lang w:eastAsia="ja-JP"/>
        </w:rPr>
        <w:t xml:space="preserve">ndependent </w:t>
      </w:r>
      <w:r w:rsidR="00141734">
        <w:rPr>
          <w:lang w:eastAsia="ja-JP"/>
        </w:rPr>
        <w:t>O</w:t>
      </w:r>
      <w:r w:rsidRPr="3CE7DD6E">
        <w:rPr>
          <w:lang w:eastAsia="ja-JP"/>
        </w:rPr>
        <w:t xml:space="preserve">bserver </w:t>
      </w:r>
      <w:r w:rsidR="00141734">
        <w:rPr>
          <w:lang w:eastAsia="ja-JP"/>
        </w:rPr>
        <w:t>P</w:t>
      </w:r>
      <w:r w:rsidRPr="3CE7DD6E">
        <w:rPr>
          <w:lang w:eastAsia="ja-JP"/>
        </w:rPr>
        <w:t>rogram.</w:t>
      </w:r>
    </w:p>
    <w:p w14:paraId="14FE68E3" w14:textId="40AAD6DB" w:rsidR="00311D5F" w:rsidRDefault="00311D5F" w:rsidP="00311D5F">
      <w:pPr>
        <w:pStyle w:val="Heading3"/>
        <w:rPr>
          <w:lang w:eastAsia="ja-JP"/>
        </w:rPr>
      </w:pPr>
      <w:bookmarkStart w:id="48" w:name="_Toc131596844"/>
      <w:r>
        <w:rPr>
          <w:lang w:eastAsia="ja-JP"/>
        </w:rPr>
        <w:t>Observations and findings</w:t>
      </w:r>
      <w:bookmarkEnd w:id="48"/>
    </w:p>
    <w:p w14:paraId="05E28704" w14:textId="0D549C9D" w:rsidR="0028105B" w:rsidRDefault="0028105B" w:rsidP="00F94DC8">
      <w:pPr>
        <w:rPr>
          <w:lang w:eastAsia="ja-JP"/>
        </w:rPr>
      </w:pPr>
      <w:r>
        <w:rPr>
          <w:lang w:eastAsia="ja-JP"/>
        </w:rPr>
        <w:t>The inspector-general considers that the department has in place</w:t>
      </w:r>
      <w:r w:rsidR="0095650F">
        <w:rPr>
          <w:lang w:eastAsia="ja-JP"/>
        </w:rPr>
        <w:t>,</w:t>
      </w:r>
      <w:r>
        <w:rPr>
          <w:lang w:eastAsia="ja-JP"/>
        </w:rPr>
        <w:t xml:space="preserve"> and follows</w:t>
      </w:r>
      <w:r w:rsidR="0095650F">
        <w:rPr>
          <w:lang w:eastAsia="ja-JP"/>
        </w:rPr>
        <w:t>,</w:t>
      </w:r>
      <w:r>
        <w:rPr>
          <w:lang w:eastAsia="ja-JP"/>
        </w:rPr>
        <w:t xml:space="preserve"> standard </w:t>
      </w:r>
      <w:r w:rsidR="00EB2340">
        <w:rPr>
          <w:lang w:eastAsia="ja-JP"/>
        </w:rPr>
        <w:t>Australian Government</w:t>
      </w:r>
      <w:r>
        <w:rPr>
          <w:lang w:eastAsia="ja-JP"/>
        </w:rPr>
        <w:t xml:space="preserve"> practice in relation to complaints, </w:t>
      </w:r>
      <w:proofErr w:type="gramStart"/>
      <w:r>
        <w:rPr>
          <w:lang w:eastAsia="ja-JP"/>
        </w:rPr>
        <w:t>FOI</w:t>
      </w:r>
      <w:proofErr w:type="gramEnd"/>
      <w:r>
        <w:rPr>
          <w:lang w:eastAsia="ja-JP"/>
        </w:rPr>
        <w:t xml:space="preserve"> and privacy matters.</w:t>
      </w:r>
      <w:r w:rsidR="00787D0E">
        <w:rPr>
          <w:lang w:eastAsia="ja-JP"/>
        </w:rPr>
        <w:t xml:space="preserve"> As noted</w:t>
      </w:r>
      <w:r w:rsidR="000D0705">
        <w:rPr>
          <w:lang w:eastAsia="ja-JP"/>
        </w:rPr>
        <w:t>,</w:t>
      </w:r>
      <w:r w:rsidR="00787D0E">
        <w:rPr>
          <w:lang w:eastAsia="ja-JP"/>
        </w:rPr>
        <w:t xml:space="preserve"> the </w:t>
      </w:r>
      <w:r w:rsidR="003E790A">
        <w:rPr>
          <w:lang w:eastAsia="ja-JP"/>
        </w:rPr>
        <w:t>OAIC</w:t>
      </w:r>
      <w:r w:rsidR="00787D0E">
        <w:rPr>
          <w:lang w:eastAsia="ja-JP"/>
        </w:rPr>
        <w:t xml:space="preserve"> is the independent regulator for privacy and FOI matters</w:t>
      </w:r>
      <w:r w:rsidR="00220E04">
        <w:rPr>
          <w:lang w:eastAsia="ja-JP"/>
        </w:rPr>
        <w:t>.</w:t>
      </w:r>
    </w:p>
    <w:p w14:paraId="3420B14B" w14:textId="2A1FBC24" w:rsidR="00315037" w:rsidRDefault="007F78AE" w:rsidP="00F94DC8">
      <w:pPr>
        <w:rPr>
          <w:lang w:eastAsia="ja-JP"/>
        </w:rPr>
      </w:pPr>
      <w:proofErr w:type="gramStart"/>
      <w:r>
        <w:rPr>
          <w:lang w:eastAsia="ja-JP"/>
        </w:rPr>
        <w:t>A</w:t>
      </w:r>
      <w:r w:rsidR="00034B88">
        <w:rPr>
          <w:lang w:eastAsia="ja-JP"/>
        </w:rPr>
        <w:t xml:space="preserve"> number of</w:t>
      </w:r>
      <w:proofErr w:type="gramEnd"/>
      <w:r w:rsidR="00034B88">
        <w:rPr>
          <w:lang w:eastAsia="ja-JP"/>
        </w:rPr>
        <w:t xml:space="preserve"> exporters expressed frustration </w:t>
      </w:r>
      <w:r w:rsidR="0095650F">
        <w:rPr>
          <w:lang w:eastAsia="ja-JP"/>
        </w:rPr>
        <w:t xml:space="preserve">that </w:t>
      </w:r>
      <w:r w:rsidR="00ED7255" w:rsidRPr="00ED7255">
        <w:rPr>
          <w:lang w:eastAsia="ja-JP"/>
        </w:rPr>
        <w:t>when the dedicated phone line was shut down during the COVID</w:t>
      </w:r>
      <w:r w:rsidR="00F77087">
        <w:rPr>
          <w:lang w:eastAsia="ja-JP"/>
        </w:rPr>
        <w:t>-</w:t>
      </w:r>
      <w:r w:rsidR="00ED7255" w:rsidRPr="00ED7255">
        <w:rPr>
          <w:lang w:eastAsia="ja-JP"/>
        </w:rPr>
        <w:t>19 pandemic</w:t>
      </w:r>
      <w:r w:rsidR="0095650F">
        <w:rPr>
          <w:lang w:eastAsia="ja-JP"/>
        </w:rPr>
        <w:t xml:space="preserve"> the department</w:t>
      </w:r>
      <w:r w:rsidR="00F77087">
        <w:rPr>
          <w:lang w:eastAsia="ja-JP"/>
        </w:rPr>
        <w:t>’</w:t>
      </w:r>
      <w:r w:rsidR="0095650F">
        <w:rPr>
          <w:lang w:eastAsia="ja-JP"/>
        </w:rPr>
        <w:t xml:space="preserve">s approach to </w:t>
      </w:r>
      <w:r w:rsidR="00F77087">
        <w:rPr>
          <w:lang w:eastAsia="ja-JP"/>
        </w:rPr>
        <w:t xml:space="preserve">receiving </w:t>
      </w:r>
      <w:r w:rsidR="0095650F">
        <w:rPr>
          <w:lang w:eastAsia="ja-JP"/>
        </w:rPr>
        <w:t xml:space="preserve">enquiries </w:t>
      </w:r>
      <w:r>
        <w:rPr>
          <w:lang w:eastAsia="ja-JP"/>
        </w:rPr>
        <w:t>became</w:t>
      </w:r>
      <w:r w:rsidR="0095650F">
        <w:rPr>
          <w:lang w:eastAsia="ja-JP"/>
        </w:rPr>
        <w:t xml:space="preserve"> unclear</w:t>
      </w:r>
      <w:r w:rsidR="00ED7255" w:rsidRPr="00ED7255">
        <w:rPr>
          <w:lang w:eastAsia="ja-JP"/>
        </w:rPr>
        <w:t>.</w:t>
      </w:r>
      <w:r w:rsidR="00034B88">
        <w:rPr>
          <w:lang w:eastAsia="ja-JP"/>
        </w:rPr>
        <w:t xml:space="preserve"> Some </w:t>
      </w:r>
      <w:r w:rsidR="00F77087">
        <w:rPr>
          <w:lang w:eastAsia="ja-JP"/>
        </w:rPr>
        <w:t xml:space="preserve">exporters </w:t>
      </w:r>
      <w:r w:rsidR="00034B88">
        <w:rPr>
          <w:lang w:eastAsia="ja-JP"/>
        </w:rPr>
        <w:t xml:space="preserve">were initially unaware of the change in approach during this period, </w:t>
      </w:r>
      <w:r w:rsidR="00F77087">
        <w:rPr>
          <w:lang w:eastAsia="ja-JP"/>
        </w:rPr>
        <w:t xml:space="preserve">and </w:t>
      </w:r>
      <w:r w:rsidR="00034B88">
        <w:rPr>
          <w:lang w:eastAsia="ja-JP"/>
        </w:rPr>
        <w:t xml:space="preserve">many were concerned that </w:t>
      </w:r>
      <w:r w:rsidR="00F77087">
        <w:rPr>
          <w:lang w:eastAsia="ja-JP"/>
        </w:rPr>
        <w:t xml:space="preserve">access to departmental advice was more difficult </w:t>
      </w:r>
      <w:r w:rsidR="00034B88">
        <w:rPr>
          <w:lang w:eastAsia="ja-JP"/>
        </w:rPr>
        <w:t>during a time of increased operational uncertainty.</w:t>
      </w:r>
      <w:r w:rsidR="00ED7255" w:rsidRPr="00ED7255">
        <w:rPr>
          <w:lang w:eastAsia="ja-JP"/>
        </w:rPr>
        <w:t xml:space="preserve"> The inspector-general </w:t>
      </w:r>
      <w:r w:rsidR="00034B88">
        <w:rPr>
          <w:lang w:eastAsia="ja-JP"/>
        </w:rPr>
        <w:t xml:space="preserve">suggests </w:t>
      </w:r>
      <w:r w:rsidR="0095650F">
        <w:rPr>
          <w:lang w:eastAsia="ja-JP"/>
        </w:rPr>
        <w:t xml:space="preserve">that </w:t>
      </w:r>
      <w:r w:rsidR="0095650F" w:rsidRPr="00ED7255">
        <w:rPr>
          <w:lang w:eastAsia="ja-JP"/>
        </w:rPr>
        <w:t>the</w:t>
      </w:r>
      <w:r w:rsidR="00ED7255" w:rsidRPr="00ED7255">
        <w:rPr>
          <w:lang w:eastAsia="ja-JP"/>
        </w:rPr>
        <w:t xml:space="preserve"> department </w:t>
      </w:r>
      <w:r w:rsidR="00034B88">
        <w:rPr>
          <w:lang w:eastAsia="ja-JP"/>
        </w:rPr>
        <w:t>develop</w:t>
      </w:r>
      <w:r w:rsidR="0033751F">
        <w:rPr>
          <w:lang w:eastAsia="ja-JP"/>
        </w:rPr>
        <w:t>s</w:t>
      </w:r>
      <w:r w:rsidR="00034B88">
        <w:rPr>
          <w:lang w:eastAsia="ja-JP"/>
        </w:rPr>
        <w:t xml:space="preserve"> contingency </w:t>
      </w:r>
      <w:r w:rsidR="00ED7255" w:rsidRPr="00ED7255">
        <w:rPr>
          <w:lang w:eastAsia="ja-JP"/>
        </w:rPr>
        <w:t>procedures</w:t>
      </w:r>
      <w:r w:rsidR="00034B88">
        <w:rPr>
          <w:lang w:eastAsia="ja-JP"/>
        </w:rPr>
        <w:t xml:space="preserve"> to maintain an active direct phone line that can be implemented should similar circumstance</w:t>
      </w:r>
      <w:r w:rsidR="000312E2">
        <w:rPr>
          <w:lang w:eastAsia="ja-JP"/>
        </w:rPr>
        <w:t>s</w:t>
      </w:r>
      <w:r w:rsidR="00034B88">
        <w:rPr>
          <w:lang w:eastAsia="ja-JP"/>
        </w:rPr>
        <w:t xml:space="preserve"> occur.</w:t>
      </w:r>
    </w:p>
    <w:p w14:paraId="6C457F66" w14:textId="4A7D83DD" w:rsidR="00315037" w:rsidRDefault="00315037" w:rsidP="00F94DC8">
      <w:pPr>
        <w:rPr>
          <w:lang w:eastAsia="ja-JP"/>
        </w:rPr>
      </w:pPr>
      <w:r>
        <w:rPr>
          <w:lang w:eastAsia="ja-JP"/>
        </w:rPr>
        <w:t xml:space="preserve">Additionally, ensuring that the nature of calls is captured can be important in </w:t>
      </w:r>
      <w:proofErr w:type="gramStart"/>
      <w:r>
        <w:rPr>
          <w:lang w:eastAsia="ja-JP"/>
        </w:rPr>
        <w:t>a number of</w:t>
      </w:r>
      <w:proofErr w:type="gramEnd"/>
      <w:r>
        <w:rPr>
          <w:lang w:eastAsia="ja-JP"/>
        </w:rPr>
        <w:t xml:space="preserve"> ways. For example:</w:t>
      </w:r>
    </w:p>
    <w:p w14:paraId="5694205B" w14:textId="7BB63BE1" w:rsidR="00315037" w:rsidRDefault="00315037" w:rsidP="00134DEC">
      <w:pPr>
        <w:pStyle w:val="ListBullet"/>
        <w:rPr>
          <w:lang w:eastAsia="ja-JP"/>
        </w:rPr>
      </w:pPr>
      <w:r>
        <w:rPr>
          <w:lang w:eastAsia="ja-JP"/>
        </w:rPr>
        <w:t>Establishing a record of advice and decisions relating to a particular matter that is readily available to other officers.</w:t>
      </w:r>
    </w:p>
    <w:p w14:paraId="05B5EE1C" w14:textId="64161148" w:rsidR="00315037" w:rsidRDefault="00315037" w:rsidP="00134DEC">
      <w:pPr>
        <w:pStyle w:val="ListBullet"/>
        <w:rPr>
          <w:lang w:eastAsia="ja-JP"/>
        </w:rPr>
      </w:pPr>
      <w:r>
        <w:rPr>
          <w:lang w:eastAsia="ja-JP"/>
        </w:rPr>
        <w:t>Dealing with similar calls consistently and efficiently by capturing the issues and answers developed in response (for example</w:t>
      </w:r>
      <w:r w:rsidR="008E54E5">
        <w:rPr>
          <w:lang w:eastAsia="ja-JP"/>
        </w:rPr>
        <w:t>,</w:t>
      </w:r>
      <w:r>
        <w:rPr>
          <w:lang w:eastAsia="ja-JP"/>
        </w:rPr>
        <w:t xml:space="preserve"> through improved website guidance, </w:t>
      </w:r>
      <w:proofErr w:type="gramStart"/>
      <w:r>
        <w:rPr>
          <w:lang w:eastAsia="ja-JP"/>
        </w:rPr>
        <w:t>scripts</w:t>
      </w:r>
      <w:proofErr w:type="gramEnd"/>
      <w:r>
        <w:rPr>
          <w:lang w:eastAsia="ja-JP"/>
        </w:rPr>
        <w:t xml:space="preserve"> and internal training</w:t>
      </w:r>
      <w:r w:rsidR="000C1EB6">
        <w:rPr>
          <w:lang w:eastAsia="ja-JP"/>
        </w:rPr>
        <w:t>)</w:t>
      </w:r>
      <w:r>
        <w:rPr>
          <w:lang w:eastAsia="ja-JP"/>
        </w:rPr>
        <w:t>.</w:t>
      </w:r>
    </w:p>
    <w:p w14:paraId="4FE43D6D" w14:textId="34D7521B" w:rsidR="00C97EA7" w:rsidRDefault="0B403FAF" w:rsidP="00F94DC8">
      <w:pPr>
        <w:rPr>
          <w:lang w:eastAsia="ja-JP"/>
        </w:rPr>
      </w:pPr>
      <w:r w:rsidRPr="3CE7DD6E">
        <w:rPr>
          <w:lang w:eastAsia="ja-JP"/>
        </w:rPr>
        <w:t xml:space="preserve">The inspector-general also heard that it can be difficult to </w:t>
      </w:r>
      <w:r w:rsidR="196D41CE" w:rsidRPr="3CE7DD6E">
        <w:rPr>
          <w:lang w:eastAsia="ja-JP"/>
        </w:rPr>
        <w:t xml:space="preserve">obtain advice or decisions </w:t>
      </w:r>
      <w:r w:rsidR="74C55550" w:rsidRPr="3CE7DD6E">
        <w:rPr>
          <w:lang w:eastAsia="ja-JP"/>
        </w:rPr>
        <w:t>on matters</w:t>
      </w:r>
      <w:r w:rsidRPr="3CE7DD6E">
        <w:rPr>
          <w:lang w:eastAsia="ja-JP"/>
        </w:rPr>
        <w:t xml:space="preserve"> that occur </w:t>
      </w:r>
      <w:r w:rsidR="476E6B8E" w:rsidRPr="3CE7DD6E">
        <w:rPr>
          <w:lang w:eastAsia="ja-JP"/>
        </w:rPr>
        <w:t>outside</w:t>
      </w:r>
      <w:r w:rsidRPr="3CE7DD6E">
        <w:rPr>
          <w:lang w:eastAsia="ja-JP"/>
        </w:rPr>
        <w:t xml:space="preserve"> business hours.</w:t>
      </w:r>
      <w:r w:rsidR="21B8278D" w:rsidRPr="3CE7DD6E">
        <w:rPr>
          <w:lang w:eastAsia="ja-JP"/>
        </w:rPr>
        <w:t xml:space="preserve"> Regional </w:t>
      </w:r>
      <w:r w:rsidR="008E04FA">
        <w:rPr>
          <w:lang w:eastAsia="ja-JP"/>
        </w:rPr>
        <w:t>v</w:t>
      </w:r>
      <w:r w:rsidR="21B8278D" w:rsidRPr="3CE7DD6E">
        <w:rPr>
          <w:lang w:eastAsia="ja-JP"/>
        </w:rPr>
        <w:t xml:space="preserve">eterinary </w:t>
      </w:r>
      <w:r w:rsidR="008E04FA">
        <w:rPr>
          <w:lang w:eastAsia="ja-JP"/>
        </w:rPr>
        <w:t>o</w:t>
      </w:r>
      <w:r w:rsidR="21B8278D" w:rsidRPr="3CE7DD6E">
        <w:rPr>
          <w:lang w:eastAsia="ja-JP"/>
        </w:rPr>
        <w:t xml:space="preserve">fficers are generally available during the operational phases of an export consignment and can address most issues. However, the </w:t>
      </w:r>
      <w:r w:rsidR="21B8278D" w:rsidRPr="3CE7DD6E">
        <w:rPr>
          <w:lang w:eastAsia="ja-JP"/>
        </w:rPr>
        <w:lastRenderedPageBreak/>
        <w:t>inspector-general heard of instances where advice or a decision was required from LAE branch out of hours.</w:t>
      </w:r>
      <w:r w:rsidRPr="3CE7DD6E">
        <w:rPr>
          <w:lang w:eastAsia="ja-JP"/>
        </w:rPr>
        <w:t xml:space="preserve"> </w:t>
      </w:r>
    </w:p>
    <w:p w14:paraId="2F9166AC" w14:textId="2E7815AC" w:rsidR="00D57313" w:rsidRDefault="0B403FAF" w:rsidP="00F94DC8">
      <w:pPr>
        <w:rPr>
          <w:lang w:eastAsia="ja-JP"/>
        </w:rPr>
      </w:pPr>
      <w:r w:rsidRPr="3CE7DD6E">
        <w:rPr>
          <w:lang w:eastAsia="ja-JP"/>
        </w:rPr>
        <w:t>The department’s</w:t>
      </w:r>
      <w:r w:rsidR="4E36958A" w:rsidRPr="3CE7DD6E">
        <w:rPr>
          <w:lang w:eastAsia="ja-JP"/>
        </w:rPr>
        <w:t xml:space="preserve"> livestock</w:t>
      </w:r>
      <w:r w:rsidRPr="3CE7DD6E">
        <w:rPr>
          <w:lang w:eastAsia="ja-JP"/>
        </w:rPr>
        <w:t xml:space="preserve"> </w:t>
      </w:r>
      <w:r w:rsidR="4E36958A" w:rsidRPr="3CE7DD6E">
        <w:rPr>
          <w:lang w:eastAsia="ja-JP"/>
        </w:rPr>
        <w:t xml:space="preserve">standard hours of service </w:t>
      </w:r>
      <w:r w:rsidRPr="3CE7DD6E">
        <w:rPr>
          <w:lang w:eastAsia="ja-JP"/>
        </w:rPr>
        <w:t>are from Monday to Friday</w:t>
      </w:r>
      <w:r w:rsidR="00882850">
        <w:rPr>
          <w:lang w:eastAsia="ja-JP"/>
        </w:rPr>
        <w:t>. The Canberra office hours are from 8:30am to 5pm, while the regional office hours are from</w:t>
      </w:r>
      <w:r w:rsidRPr="3CE7DD6E">
        <w:rPr>
          <w:lang w:eastAsia="ja-JP"/>
        </w:rPr>
        <w:t xml:space="preserve"> </w:t>
      </w:r>
      <w:r w:rsidR="4E36958A" w:rsidRPr="3CE7DD6E">
        <w:rPr>
          <w:lang w:eastAsia="ja-JP"/>
        </w:rPr>
        <w:t>6</w:t>
      </w:r>
      <w:r w:rsidRPr="3CE7DD6E">
        <w:rPr>
          <w:lang w:eastAsia="ja-JP"/>
        </w:rPr>
        <w:t xml:space="preserve">:30am to </w:t>
      </w:r>
      <w:r w:rsidR="4E36958A" w:rsidRPr="3CE7DD6E">
        <w:rPr>
          <w:lang w:eastAsia="ja-JP"/>
        </w:rPr>
        <w:t>6</w:t>
      </w:r>
      <w:r w:rsidRPr="3CE7DD6E">
        <w:rPr>
          <w:lang w:eastAsia="ja-JP"/>
        </w:rPr>
        <w:t>:</w:t>
      </w:r>
      <w:r w:rsidR="4E36958A" w:rsidRPr="3CE7DD6E">
        <w:rPr>
          <w:lang w:eastAsia="ja-JP"/>
        </w:rPr>
        <w:t>3</w:t>
      </w:r>
      <w:r w:rsidRPr="3CE7DD6E">
        <w:rPr>
          <w:lang w:eastAsia="ja-JP"/>
        </w:rPr>
        <w:t xml:space="preserve">0pm </w:t>
      </w:r>
      <w:r w:rsidR="00B10B3F">
        <w:rPr>
          <w:lang w:eastAsia="ja-JP"/>
        </w:rPr>
        <w:t>local time</w:t>
      </w:r>
      <w:r w:rsidRPr="3CE7DD6E">
        <w:rPr>
          <w:lang w:eastAsia="ja-JP"/>
        </w:rPr>
        <w:t xml:space="preserve">. </w:t>
      </w:r>
      <w:r w:rsidR="21B8278D" w:rsidRPr="3CE7DD6E">
        <w:rPr>
          <w:lang w:eastAsia="ja-JP"/>
        </w:rPr>
        <w:t>While the inspector-general understands this has improved in recent times with various senior officers accessible out of hours</w:t>
      </w:r>
      <w:r w:rsidR="476E6B8E" w:rsidRPr="3CE7DD6E">
        <w:rPr>
          <w:lang w:eastAsia="ja-JP"/>
        </w:rPr>
        <w:t>,</w:t>
      </w:r>
      <w:r w:rsidR="21B8278D" w:rsidRPr="3CE7DD6E">
        <w:rPr>
          <w:lang w:eastAsia="ja-JP"/>
        </w:rPr>
        <w:t xml:space="preserve"> the department should consider whether a more reliable and formal process be put in place for </w:t>
      </w:r>
      <w:r w:rsidRPr="3CE7DD6E">
        <w:rPr>
          <w:lang w:eastAsia="ja-JP"/>
        </w:rPr>
        <w:t>escalation of issues after hours.</w:t>
      </w:r>
    </w:p>
    <w:p w14:paraId="0D56D8F9" w14:textId="02A344E9" w:rsidR="00100641" w:rsidRDefault="003116B6" w:rsidP="00F94DC8">
      <w:pPr>
        <w:rPr>
          <w:lang w:eastAsia="ja-JP"/>
        </w:rPr>
      </w:pPr>
      <w:r>
        <w:rPr>
          <w:lang w:eastAsia="ja-JP"/>
        </w:rPr>
        <w:t xml:space="preserve">Email correspondence is a ubiquitous feature of all current business and government administration. </w:t>
      </w:r>
      <w:r w:rsidR="00ED7255" w:rsidRPr="00ED7255">
        <w:rPr>
          <w:lang w:eastAsia="ja-JP"/>
        </w:rPr>
        <w:t xml:space="preserve">The inspector-general </w:t>
      </w:r>
      <w:r>
        <w:rPr>
          <w:lang w:eastAsia="ja-JP"/>
        </w:rPr>
        <w:t xml:space="preserve">was given </w:t>
      </w:r>
      <w:proofErr w:type="gramStart"/>
      <w:r>
        <w:rPr>
          <w:lang w:eastAsia="ja-JP"/>
        </w:rPr>
        <w:t>a number of</w:t>
      </w:r>
      <w:proofErr w:type="gramEnd"/>
      <w:r>
        <w:rPr>
          <w:lang w:eastAsia="ja-JP"/>
        </w:rPr>
        <w:t xml:space="preserve"> examples of delayed response times by the department to email enquiries.</w:t>
      </w:r>
      <w:r w:rsidR="00ED7255" w:rsidRPr="00ED7255">
        <w:rPr>
          <w:lang w:eastAsia="ja-JP"/>
        </w:rPr>
        <w:t xml:space="preserve"> Sometimes numerous follow-up emails </w:t>
      </w:r>
      <w:r w:rsidR="00315037">
        <w:rPr>
          <w:lang w:eastAsia="ja-JP"/>
        </w:rPr>
        <w:t xml:space="preserve">were </w:t>
      </w:r>
      <w:r w:rsidR="000C1EB6">
        <w:rPr>
          <w:lang w:eastAsia="ja-JP"/>
        </w:rPr>
        <w:t xml:space="preserve">also </w:t>
      </w:r>
      <w:r w:rsidR="000C1EB6" w:rsidRPr="00ED7255">
        <w:rPr>
          <w:lang w:eastAsia="ja-JP"/>
        </w:rPr>
        <w:t>required</w:t>
      </w:r>
      <w:r w:rsidR="00ED7255" w:rsidRPr="00ED7255">
        <w:rPr>
          <w:lang w:eastAsia="ja-JP"/>
        </w:rPr>
        <w:t xml:space="preserve"> before a response </w:t>
      </w:r>
      <w:r w:rsidR="00315037">
        <w:rPr>
          <w:lang w:eastAsia="ja-JP"/>
        </w:rPr>
        <w:t>was</w:t>
      </w:r>
      <w:r w:rsidR="00ED7255" w:rsidRPr="00ED7255">
        <w:rPr>
          <w:lang w:eastAsia="ja-JP"/>
        </w:rPr>
        <w:t xml:space="preserve"> received.</w:t>
      </w:r>
      <w:r w:rsidR="00315037">
        <w:rPr>
          <w:lang w:eastAsia="ja-JP"/>
        </w:rPr>
        <w:t xml:space="preserve"> The inspector-general is concerned that a lack of systemised approaches to recording</w:t>
      </w:r>
      <w:r w:rsidR="0048035D">
        <w:rPr>
          <w:lang w:eastAsia="ja-JP"/>
        </w:rPr>
        <w:t>, allocating</w:t>
      </w:r>
      <w:r w:rsidR="00315037">
        <w:rPr>
          <w:lang w:eastAsia="ja-JP"/>
        </w:rPr>
        <w:t xml:space="preserve"> and tracking email enquiries may </w:t>
      </w:r>
      <w:r w:rsidR="00F7124B">
        <w:rPr>
          <w:lang w:eastAsia="ja-JP"/>
        </w:rPr>
        <w:t xml:space="preserve">exacerbate response times. While accessing departmental officers on </w:t>
      </w:r>
      <w:proofErr w:type="gramStart"/>
      <w:r w:rsidR="00F7124B">
        <w:rPr>
          <w:lang w:eastAsia="ja-JP"/>
        </w:rPr>
        <w:t>particular matters</w:t>
      </w:r>
      <w:proofErr w:type="gramEnd"/>
      <w:r w:rsidR="00F7124B">
        <w:rPr>
          <w:lang w:eastAsia="ja-JP"/>
        </w:rPr>
        <w:t xml:space="preserve"> by email is an important avenue for enquiries it may, similar to phone enquiries, benefit from a more systemised approach to recording and tracking emails and responses to them. Customer </w:t>
      </w:r>
      <w:r w:rsidR="001A3F5B">
        <w:rPr>
          <w:lang w:eastAsia="ja-JP"/>
        </w:rPr>
        <w:t>r</w:t>
      </w:r>
      <w:r w:rsidR="00F7124B">
        <w:rPr>
          <w:lang w:eastAsia="ja-JP"/>
        </w:rPr>
        <w:t xml:space="preserve">elationship </w:t>
      </w:r>
      <w:r w:rsidR="001A3F5B">
        <w:rPr>
          <w:lang w:eastAsia="ja-JP"/>
        </w:rPr>
        <w:t>m</w:t>
      </w:r>
      <w:r w:rsidR="00F7124B">
        <w:rPr>
          <w:lang w:eastAsia="ja-JP"/>
        </w:rPr>
        <w:t xml:space="preserve">anagement systems or approaches should be considered by the department to provide this functionality. The additional benefits of retaining readily accessible temporal records of interactions with stakeholders to regulatory practice have been discussed in previous reviews </w:t>
      </w:r>
      <w:r w:rsidR="00F7124B" w:rsidRPr="00F12F66">
        <w:rPr>
          <w:lang w:eastAsia="ja-JP"/>
        </w:rPr>
        <w:t>(</w:t>
      </w:r>
      <w:r w:rsidR="00F12F66" w:rsidRPr="00F12F66">
        <w:rPr>
          <w:lang w:eastAsia="ja-JP"/>
        </w:rPr>
        <w:t>IGLAE 2021</w:t>
      </w:r>
      <w:r w:rsidR="00FF6BFA">
        <w:rPr>
          <w:lang w:eastAsia="ja-JP"/>
        </w:rPr>
        <w:t>b</w:t>
      </w:r>
      <w:r w:rsidR="00F12F66" w:rsidRPr="00F12F66">
        <w:rPr>
          <w:lang w:eastAsia="ja-JP"/>
        </w:rPr>
        <w:t>, IGLAE 2020</w:t>
      </w:r>
      <w:r w:rsidR="00902613">
        <w:rPr>
          <w:lang w:eastAsia="ja-JP"/>
        </w:rPr>
        <w:t>b</w:t>
      </w:r>
      <w:r w:rsidR="00F12F66" w:rsidRPr="00F12F66">
        <w:rPr>
          <w:lang w:eastAsia="ja-JP"/>
        </w:rPr>
        <w:t>)</w:t>
      </w:r>
      <w:r w:rsidR="00F12F66">
        <w:rPr>
          <w:lang w:eastAsia="ja-JP"/>
        </w:rPr>
        <w:t>.</w:t>
      </w:r>
    </w:p>
    <w:p w14:paraId="2D295BE5" w14:textId="75D90912" w:rsidR="00360385" w:rsidRDefault="1ADDE173" w:rsidP="00360385">
      <w:pPr>
        <w:rPr>
          <w:lang w:eastAsia="ja-JP"/>
        </w:rPr>
      </w:pPr>
      <w:r w:rsidRPr="3CE7DD6E">
        <w:rPr>
          <w:lang w:eastAsia="ja-JP"/>
        </w:rPr>
        <w:t>It is inevitable that stakeholders involved in a highly contested policy environment will seek information to support their positions. The department needs to adhere to the legislative and policy requirements of government in considering what it publishes and how it responds to formal requests for information. In relation to FOI requests</w:t>
      </w:r>
      <w:r w:rsidR="1BA99AA3" w:rsidRPr="3CE7DD6E">
        <w:rPr>
          <w:lang w:eastAsia="ja-JP"/>
        </w:rPr>
        <w:t>,</w:t>
      </w:r>
      <w:r w:rsidRPr="3CE7DD6E">
        <w:rPr>
          <w:lang w:eastAsia="ja-JP"/>
        </w:rPr>
        <w:t xml:space="preserve"> there are also additional avenues that stakeholders can pursue if they are dissatisfied with the department’s decisions</w:t>
      </w:r>
      <w:r w:rsidR="752B0A00" w:rsidRPr="3CE7DD6E">
        <w:rPr>
          <w:lang w:eastAsia="ja-JP"/>
        </w:rPr>
        <w:t xml:space="preserve">, such as the </w:t>
      </w:r>
      <w:r w:rsidR="446B832C" w:rsidRPr="3CE7DD6E">
        <w:rPr>
          <w:lang w:eastAsia="ja-JP"/>
        </w:rPr>
        <w:t>OAIC</w:t>
      </w:r>
      <w:r w:rsidR="1BA99AA3" w:rsidRPr="3CE7DD6E">
        <w:rPr>
          <w:lang w:eastAsia="ja-JP"/>
        </w:rPr>
        <w:t>.</w:t>
      </w:r>
    </w:p>
    <w:p w14:paraId="5D9BFDB1" w14:textId="0215658E" w:rsidR="00360385" w:rsidRDefault="00360385" w:rsidP="00360385">
      <w:pPr>
        <w:rPr>
          <w:lang w:eastAsia="ja-JP"/>
        </w:rPr>
      </w:pPr>
      <w:r>
        <w:rPr>
          <w:lang w:eastAsia="ja-JP"/>
        </w:rPr>
        <w:t>However, there is a fundamental regulatory practice issue that undermines community trust and confidence in the department as a regulator</w:t>
      </w:r>
      <w:r w:rsidR="002D40EA">
        <w:rPr>
          <w:lang w:eastAsia="ja-JP"/>
        </w:rPr>
        <w:t>.</w:t>
      </w:r>
      <w:r w:rsidR="00004A20">
        <w:rPr>
          <w:lang w:eastAsia="ja-JP"/>
        </w:rPr>
        <w:t xml:space="preserve"> This is discussed in section 2.</w:t>
      </w:r>
      <w:r w:rsidR="00CA5A2E">
        <w:rPr>
          <w:lang w:eastAsia="ja-JP"/>
        </w:rPr>
        <w:t>7</w:t>
      </w:r>
      <w:r w:rsidR="00004A20">
        <w:rPr>
          <w:lang w:eastAsia="ja-JP"/>
        </w:rPr>
        <w:t xml:space="preserve"> and reiterated here</w:t>
      </w:r>
      <w:r>
        <w:rPr>
          <w:lang w:eastAsia="ja-JP"/>
        </w:rPr>
        <w:t>. As the inspector-general has raised in previous reviews (IGLAE 2021</w:t>
      </w:r>
      <w:r w:rsidR="00FF6BFA">
        <w:rPr>
          <w:lang w:eastAsia="ja-JP"/>
        </w:rPr>
        <w:t>b</w:t>
      </w:r>
      <w:r>
        <w:rPr>
          <w:lang w:eastAsia="ja-JP"/>
        </w:rPr>
        <w:t>, IGLAE 2022), the department does not have in place a clear proportionate regulatory response model that utilises the full range of legal powers available to address non-compliance.</w:t>
      </w:r>
      <w:r w:rsidR="00134DEC">
        <w:rPr>
          <w:lang w:eastAsia="ja-JP"/>
        </w:rPr>
        <w:t xml:space="preserve"> </w:t>
      </w:r>
      <w:r>
        <w:rPr>
          <w:lang w:eastAsia="ja-JP"/>
        </w:rPr>
        <w:t>The inspector-general has consistently heard concerns from animal welfare advocacy groups that information that they seek access to through FOI or publications, often without success, may contain evidence of poor animal health and welfare outcomes and breaches of legislation and standards.</w:t>
      </w:r>
    </w:p>
    <w:p w14:paraId="4460452B" w14:textId="5E199ED7" w:rsidR="00360385" w:rsidRDefault="1ADDE173" w:rsidP="00360385">
      <w:pPr>
        <w:rPr>
          <w:lang w:eastAsia="ja-JP"/>
        </w:rPr>
      </w:pPr>
      <w:r w:rsidRPr="3CE7DD6E">
        <w:rPr>
          <w:lang w:eastAsia="ja-JP"/>
        </w:rPr>
        <w:t>The inspector-general considers that this is a symptom of the department not having a succinct approach to non-compliance where it is recorded, the nature of it is described, and the regulatory response is articulated. In a proportionate model this can range from educational/advisory</w:t>
      </w:r>
      <w:r w:rsidR="2FC6A656" w:rsidRPr="3CE7DD6E">
        <w:rPr>
          <w:lang w:eastAsia="ja-JP"/>
        </w:rPr>
        <w:t xml:space="preserve"> actions</w:t>
      </w:r>
      <w:r w:rsidRPr="3CE7DD6E">
        <w:rPr>
          <w:lang w:eastAsia="ja-JP"/>
        </w:rPr>
        <w:t xml:space="preserve"> through to prosecution and licence cancellation and is often contextualised with mitigating</w:t>
      </w:r>
      <w:r w:rsidR="2FC6A656" w:rsidRPr="3CE7DD6E">
        <w:rPr>
          <w:lang w:eastAsia="ja-JP"/>
        </w:rPr>
        <w:t>/aggravating factors</w:t>
      </w:r>
      <w:r w:rsidRPr="3CE7DD6E">
        <w:rPr>
          <w:lang w:eastAsia="ja-JP"/>
        </w:rPr>
        <w:t xml:space="preserve"> and correcting actions. In the absence of the department clearly communicating regulatory outcomes of this nature it is likely that stakeholders will continue to be concerned that the department is not taking appropriate action.</w:t>
      </w:r>
    </w:p>
    <w:p w14:paraId="3C4A629B" w14:textId="4EB9F839" w:rsidR="00360385" w:rsidRDefault="00360385" w:rsidP="00360385">
      <w:pPr>
        <w:rPr>
          <w:lang w:eastAsia="ja-JP"/>
        </w:rPr>
      </w:pPr>
      <w:r>
        <w:rPr>
          <w:lang w:eastAsia="ja-JP"/>
        </w:rPr>
        <w:t xml:space="preserve">A track record as a regulator that demonstrates detection of non-compliance, and firm but fair actions and consequences in response, is an essential part of establishing trust and confidence. This was addressed in the Moss </w:t>
      </w:r>
      <w:r w:rsidR="002B7443">
        <w:rPr>
          <w:lang w:eastAsia="ja-JP"/>
        </w:rPr>
        <w:t>r</w:t>
      </w:r>
      <w:r>
        <w:rPr>
          <w:lang w:eastAsia="ja-JP"/>
        </w:rPr>
        <w:t>eview under recommendations 4, 9, 10 and 22 (Moss 2018).</w:t>
      </w:r>
      <w:r w:rsidR="004712D6">
        <w:rPr>
          <w:lang w:eastAsia="ja-JP"/>
        </w:rPr>
        <w:t xml:space="preserve"> </w:t>
      </w:r>
      <w:r>
        <w:rPr>
          <w:lang w:eastAsia="ja-JP"/>
        </w:rPr>
        <w:lastRenderedPageBreak/>
        <w:t xml:space="preserve">Further observations were provided in the inspector-general’s </w:t>
      </w:r>
      <w:r w:rsidRPr="00A124AF">
        <w:rPr>
          <w:rStyle w:val="Emphasis"/>
          <w:lang w:eastAsia="ja-JP"/>
        </w:rPr>
        <w:t xml:space="preserve">Implementation of Moss </w:t>
      </w:r>
      <w:r w:rsidR="00121957">
        <w:rPr>
          <w:rStyle w:val="Emphasis"/>
          <w:lang w:eastAsia="ja-JP"/>
        </w:rPr>
        <w:t>R</w:t>
      </w:r>
      <w:r w:rsidRPr="00A124AF">
        <w:rPr>
          <w:rStyle w:val="Emphasis"/>
          <w:lang w:eastAsia="ja-JP"/>
        </w:rPr>
        <w:t>eview recommendations</w:t>
      </w:r>
      <w:r w:rsidR="00A124AF">
        <w:rPr>
          <w:lang w:eastAsia="ja-JP"/>
        </w:rPr>
        <w:t xml:space="preserve"> review </w:t>
      </w:r>
      <w:r>
        <w:rPr>
          <w:lang w:eastAsia="ja-JP"/>
        </w:rPr>
        <w:t>(IGLAE 2020</w:t>
      </w:r>
      <w:r w:rsidR="00C97EA7">
        <w:rPr>
          <w:lang w:eastAsia="ja-JP"/>
        </w:rPr>
        <w:t>a</w:t>
      </w:r>
      <w:r>
        <w:rPr>
          <w:lang w:eastAsia="ja-JP"/>
        </w:rPr>
        <w:t>).</w:t>
      </w:r>
    </w:p>
    <w:p w14:paraId="4056EC51" w14:textId="0D317D60" w:rsidR="0065401A" w:rsidRDefault="005D0729">
      <w:pPr>
        <w:pStyle w:val="Heading2"/>
        <w:numPr>
          <w:ilvl w:val="0"/>
          <w:numId w:val="0"/>
        </w:numPr>
        <w:ind w:left="709" w:hanging="709"/>
      </w:pPr>
      <w:bookmarkStart w:id="49" w:name="_Appendix_A:_Department’s"/>
      <w:bookmarkStart w:id="50" w:name="_Toc131596845"/>
      <w:bookmarkStart w:id="51" w:name="_Toc430782160"/>
      <w:bookmarkEnd w:id="49"/>
      <w:r>
        <w:lastRenderedPageBreak/>
        <w:t xml:space="preserve">Appendix A: </w:t>
      </w:r>
      <w:r w:rsidR="000B60F7">
        <w:t>Department’s</w:t>
      </w:r>
      <w:r>
        <w:t xml:space="preserve"> response</w:t>
      </w:r>
      <w:bookmarkEnd w:id="50"/>
    </w:p>
    <w:p w14:paraId="3EA37B4E" w14:textId="0581F647" w:rsidR="009A517A" w:rsidRDefault="00A62B6C" w:rsidP="009A517A">
      <w:pPr>
        <w:rPr>
          <w:lang w:eastAsia="ja-JP"/>
        </w:rPr>
      </w:pPr>
      <w:r>
        <w:rPr>
          <w:noProof/>
          <w:lang w:eastAsia="ja-JP"/>
        </w:rPr>
        <w:drawing>
          <wp:inline distT="0" distB="0" distL="0" distR="0" wp14:anchorId="65D1BCC2" wp14:editId="1FDE0CFD">
            <wp:extent cx="5759450" cy="8144510"/>
            <wp:effectExtent l="0" t="0" r="0" b="8890"/>
            <wp:docPr id="1" name="Picture 1" descr="Dear Mr Carter&#10;&#10;Thank you for providing your draft report &quot;Communication and engagement in livestock export regulation&quot; to the department on 17 March 2023, and for providing the opportunity to respond to your findings.&#10;&#10;Best practice regulators are transparent, open, and responsive to stakeholders and as such effective communication and engagement skills, policies and processes are essential. We welcome your report and appreciate your insights.&#10;We agree to all your recommendations (enclosed) and support the premise that publishing more information may improve stakeholder confidence in the department as a regulator. However, we note that the publishing of information must also be within legislative and procedural fairness constraints, within accepted community standards and presented in context to prevent misinterpretation. These constraints prevent us publishing some images and make it challenging to publish reports within a specified time frame. The department acknowledges this may lead stakeholders to perceive a lack of transparency.&#10;&#10;To assist stakeholders who are interested in independent observer summary reports, we are implementing a quarterly publication schedule where we will publish all summary reports finalised in the preceding quarter. This aligns with our publication process for Exporter Supply Chain Assurance System reports. As we implement the new publication process for independent observer summary reports, we will continue to look for opportunities to improve the timeliness of the publication of our reports and more transparently demonstrate the department's regulatory actions.&#10;&#10;I wish you happiness in your retirement and thank you for your commitment and service to improving our regulation of livestock exports.&#10;&#10;Best wishes&#10;&#10;Andrew Metcalfe AO&#10;&#10;En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r Mr Carter&#10;&#10;Thank you for providing your draft report &quot;Communication and engagement in livestock export regulation&quot; to the department on 17 March 2023, and for providing the opportunity to respond to your findings.&#10;&#10;Best practice regulators are transparent, open, and responsive to stakeholders and as such effective communication and engagement skills, policies and processes are essential. We welcome your report and appreciate your insights.&#10;We agree to all your recommendations (enclosed) and support the premise that publishing more information may improve stakeholder confidence in the department as a regulator. However, we note that the publishing of information must also be within legislative and procedural fairness constraints, within accepted community standards and presented in context to prevent misinterpretation. These constraints prevent us publishing some images and make it challenging to publish reports within a specified time frame. The department acknowledges this may lead stakeholders to perceive a lack of transparency.&#10;&#10;To assist stakeholders who are interested in independent observer summary reports, we are implementing a quarterly publication schedule where we will publish all summary reports finalised in the preceding quarter. This aligns with our publication process for Exporter Supply Chain Assurance System reports. As we implement the new publication process for independent observer summary reports, we will continue to look for opportunities to improve the timeliness of the publication of our reports and more transparently demonstrate the department's regulatory actions.&#10;&#10;I wish you happiness in your retirement and thank you for your commitment and service to improving our regulation of livestock exports.&#10;&#10;Best wishes&#10;&#10;Andrew Metcalfe AO&#10;&#10;Enclos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59450" cy="8144510"/>
                    </a:xfrm>
                    <a:prstGeom prst="rect">
                      <a:avLst/>
                    </a:prstGeom>
                  </pic:spPr>
                </pic:pic>
              </a:graphicData>
            </a:graphic>
          </wp:inline>
        </w:drawing>
      </w:r>
    </w:p>
    <w:p w14:paraId="5289AF88" w14:textId="405A48FE" w:rsidR="009A517A" w:rsidRDefault="009A517A" w:rsidP="009A517A">
      <w:pPr>
        <w:pStyle w:val="Heading3"/>
        <w:numPr>
          <w:ilvl w:val="0"/>
          <w:numId w:val="0"/>
        </w:numPr>
        <w:ind w:left="964" w:hanging="964"/>
        <w:rPr>
          <w:lang w:eastAsia="ja-JP"/>
        </w:rPr>
      </w:pPr>
      <w:bookmarkStart w:id="52" w:name="_Toc131596846"/>
      <w:r>
        <w:rPr>
          <w:lang w:eastAsia="ja-JP"/>
        </w:rPr>
        <w:lastRenderedPageBreak/>
        <w:t>Enclosed response</w:t>
      </w:r>
      <w:bookmarkEnd w:id="52"/>
    </w:p>
    <w:p w14:paraId="62AF12C9" w14:textId="73958794" w:rsidR="009A517A" w:rsidRDefault="009A517A" w:rsidP="009A517A">
      <w:pPr>
        <w:pStyle w:val="Heading4"/>
        <w:numPr>
          <w:ilvl w:val="0"/>
          <w:numId w:val="0"/>
        </w:numPr>
        <w:ind w:left="964" w:hanging="964"/>
        <w:rPr>
          <w:lang w:eastAsia="ja-JP"/>
        </w:rPr>
      </w:pPr>
      <w:r>
        <w:rPr>
          <w:lang w:eastAsia="ja-JP"/>
        </w:rPr>
        <w:t>Recommendation 1</w:t>
      </w:r>
    </w:p>
    <w:p w14:paraId="4A7F34EC" w14:textId="2B199EFC" w:rsidR="009A517A" w:rsidRDefault="006D22D9" w:rsidP="009A517A">
      <w:pPr>
        <w:rPr>
          <w:lang w:eastAsia="ja-JP"/>
        </w:rPr>
      </w:pPr>
      <w:r w:rsidRPr="006D22D9">
        <w:rPr>
          <w:lang w:eastAsia="ja-JP"/>
        </w:rPr>
        <w:t>The department should increase meetings or workshops with stakeholders to ensure that those who are time constrained from providing formal submissions can be heard. This should target stakeholder segments to ensure that regional differences are identified, and so that stakeholders with widely disparate positions are heard separately.</w:t>
      </w:r>
    </w:p>
    <w:p w14:paraId="56F7E95E" w14:textId="6E983C70" w:rsidR="009A517A" w:rsidRDefault="009A517A" w:rsidP="009A517A">
      <w:pPr>
        <w:rPr>
          <w:lang w:eastAsia="ja-JP"/>
        </w:rPr>
      </w:pPr>
      <w:r>
        <w:rPr>
          <w:lang w:eastAsia="ja-JP"/>
        </w:rPr>
        <w:t xml:space="preserve">Department’s response: </w:t>
      </w:r>
      <w:r w:rsidR="00DA22EC">
        <w:rPr>
          <w:lang w:eastAsia="ja-JP"/>
        </w:rPr>
        <w:t>Agreed</w:t>
      </w:r>
    </w:p>
    <w:p w14:paraId="123E4562" w14:textId="628A3C17" w:rsidR="00DA22EC" w:rsidRDefault="00DA22EC" w:rsidP="00DA22EC">
      <w:pPr>
        <w:rPr>
          <w:lang w:eastAsia="ja-JP"/>
        </w:rPr>
      </w:pPr>
      <w:r>
        <w:rPr>
          <w:lang w:eastAsia="ja-JP"/>
        </w:rPr>
        <w:t xml:space="preserve">The department uses many engagement strategies and platforms, as described in our “Stakeholder Communication and Engagement Policy Live animal exports” published on our website, and, also, depending on the purpose of specific communication, </w:t>
      </w:r>
      <w:proofErr w:type="gramStart"/>
      <w:r>
        <w:rPr>
          <w:lang w:eastAsia="ja-JP"/>
        </w:rPr>
        <w:t>consultation</w:t>
      </w:r>
      <w:proofErr w:type="gramEnd"/>
      <w:r>
        <w:rPr>
          <w:lang w:eastAsia="ja-JP"/>
        </w:rPr>
        <w:t xml:space="preserve"> or other engagement. The department also invites direct input (both formal and informal) from stakeholders through email, web content, </w:t>
      </w:r>
      <w:proofErr w:type="gramStart"/>
      <w:r>
        <w:rPr>
          <w:lang w:eastAsia="ja-JP"/>
        </w:rPr>
        <w:t>telephone</w:t>
      </w:r>
      <w:proofErr w:type="gramEnd"/>
      <w:r>
        <w:rPr>
          <w:lang w:eastAsia="ja-JP"/>
        </w:rPr>
        <w:t xml:space="preserve"> and face-to-face meetings.</w:t>
      </w:r>
    </w:p>
    <w:p w14:paraId="6FA437DE" w14:textId="79F876C6" w:rsidR="00B226D5" w:rsidRDefault="00DA22EC" w:rsidP="00DA22EC">
      <w:pPr>
        <w:rPr>
          <w:lang w:eastAsia="ja-JP"/>
        </w:rPr>
      </w:pPr>
      <w:r>
        <w:rPr>
          <w:lang w:eastAsia="ja-JP"/>
        </w:rPr>
        <w:t>To continue to support stakeholders’ participation, we will update our “Stakeholder Communication and Engagement Policy Live Animal Exports” and publish a summary of consultation undertaken for future reviews. We will also reiterate guidance when seeking public comment on draft reports and will continue to invite stakeholders to engage with us on an individual or group basis, particularly if they have difficulties or concerns about providing a formal submission.</w:t>
      </w:r>
    </w:p>
    <w:p w14:paraId="73568CC5" w14:textId="7E9FAA07" w:rsidR="009A517A" w:rsidRDefault="009A517A" w:rsidP="009A517A">
      <w:pPr>
        <w:pStyle w:val="Heading4"/>
        <w:numPr>
          <w:ilvl w:val="0"/>
          <w:numId w:val="0"/>
        </w:numPr>
        <w:ind w:left="964" w:hanging="964"/>
        <w:rPr>
          <w:lang w:eastAsia="ja-JP"/>
        </w:rPr>
      </w:pPr>
      <w:r>
        <w:rPr>
          <w:lang w:eastAsia="ja-JP"/>
        </w:rPr>
        <w:t>Recommendation 2</w:t>
      </w:r>
    </w:p>
    <w:p w14:paraId="4E4AD4F7" w14:textId="0212B3ED" w:rsidR="009A517A" w:rsidRDefault="00CB1751" w:rsidP="009A517A">
      <w:pPr>
        <w:rPr>
          <w:lang w:eastAsia="ja-JP"/>
        </w:rPr>
      </w:pPr>
      <w:r w:rsidRPr="00CB1751">
        <w:rPr>
          <w:lang w:eastAsia="ja-JP"/>
        </w:rPr>
        <w:t>When the department undertakes a formal consultation process the subsequent decision should include a ‘response to submissions’ to inform stakeholders who made submissions of how their concerns were considered.</w:t>
      </w:r>
    </w:p>
    <w:p w14:paraId="458EF881" w14:textId="6B3A1E8E" w:rsidR="009A517A" w:rsidRDefault="009A517A" w:rsidP="009A517A">
      <w:pPr>
        <w:rPr>
          <w:lang w:eastAsia="ja-JP"/>
        </w:rPr>
      </w:pPr>
      <w:r>
        <w:rPr>
          <w:lang w:eastAsia="ja-JP"/>
        </w:rPr>
        <w:t>Department’s response:</w:t>
      </w:r>
      <w:r w:rsidR="00236F6C">
        <w:rPr>
          <w:lang w:eastAsia="ja-JP"/>
        </w:rPr>
        <w:t xml:space="preserve"> Agreed</w:t>
      </w:r>
    </w:p>
    <w:p w14:paraId="4248D1DD" w14:textId="073B8E83" w:rsidR="00B226D5" w:rsidRDefault="00236F6C" w:rsidP="009A517A">
      <w:pPr>
        <w:rPr>
          <w:lang w:eastAsia="ja-JP"/>
        </w:rPr>
      </w:pPr>
      <w:r w:rsidRPr="00236F6C">
        <w:rPr>
          <w:lang w:eastAsia="ja-JP"/>
        </w:rPr>
        <w:t>For each formal consultation process, the Live Animal Exports program will adopt a policy to include a summary of the themes to submissions or discussion in the final report.</w:t>
      </w:r>
    </w:p>
    <w:p w14:paraId="2B8900B4" w14:textId="7754F350" w:rsidR="009A517A" w:rsidRDefault="009A517A" w:rsidP="009A517A">
      <w:pPr>
        <w:pStyle w:val="Heading4"/>
        <w:numPr>
          <w:ilvl w:val="0"/>
          <w:numId w:val="0"/>
        </w:numPr>
        <w:ind w:left="964" w:hanging="964"/>
        <w:rPr>
          <w:lang w:eastAsia="ja-JP"/>
        </w:rPr>
      </w:pPr>
      <w:r>
        <w:rPr>
          <w:lang w:eastAsia="ja-JP"/>
        </w:rPr>
        <w:t>Recommendation 3</w:t>
      </w:r>
    </w:p>
    <w:p w14:paraId="1107343C" w14:textId="44D73171" w:rsidR="009A517A" w:rsidRDefault="008F5744" w:rsidP="009A517A">
      <w:pPr>
        <w:rPr>
          <w:lang w:eastAsia="ja-JP"/>
        </w:rPr>
      </w:pPr>
      <w:r w:rsidRPr="008F5744">
        <w:rPr>
          <w:lang w:eastAsia="ja-JP"/>
        </w:rPr>
        <w:t>The department should develop an annual regulatory activity report and publish it on its website.</w:t>
      </w:r>
    </w:p>
    <w:p w14:paraId="25D1B589" w14:textId="1514DE29" w:rsidR="009A517A" w:rsidRDefault="009A517A" w:rsidP="009A517A">
      <w:pPr>
        <w:rPr>
          <w:lang w:eastAsia="ja-JP"/>
        </w:rPr>
      </w:pPr>
      <w:r>
        <w:rPr>
          <w:lang w:eastAsia="ja-JP"/>
        </w:rPr>
        <w:t xml:space="preserve">Department’s response: </w:t>
      </w:r>
      <w:r w:rsidR="00236F6C">
        <w:rPr>
          <w:lang w:eastAsia="ja-JP"/>
        </w:rPr>
        <w:t>Agreed</w:t>
      </w:r>
    </w:p>
    <w:p w14:paraId="2DB0C00C" w14:textId="0EF1DD9E" w:rsidR="00B226D5" w:rsidRPr="009A517A" w:rsidRDefault="00236F6C" w:rsidP="009A517A">
      <w:pPr>
        <w:rPr>
          <w:lang w:eastAsia="ja-JP"/>
        </w:rPr>
      </w:pPr>
      <w:r w:rsidRPr="00236F6C">
        <w:rPr>
          <w:lang w:eastAsia="ja-JP"/>
        </w:rPr>
        <w:t>We will publish additional information about our regulatory activities (</w:t>
      </w:r>
      <w:proofErr w:type="gramStart"/>
      <w:r w:rsidRPr="00236F6C">
        <w:rPr>
          <w:lang w:eastAsia="ja-JP"/>
        </w:rPr>
        <w:t>e.g.</w:t>
      </w:r>
      <w:proofErr w:type="gramEnd"/>
      <w:r w:rsidRPr="00236F6C">
        <w:rPr>
          <w:lang w:eastAsia="ja-JP"/>
        </w:rPr>
        <w:t xml:space="preserve"> number of audits and outcomes of investigations) noting the </w:t>
      </w:r>
      <w:r w:rsidRPr="00AC1B58">
        <w:rPr>
          <w:rStyle w:val="Emphasis"/>
        </w:rPr>
        <w:t>Export Control Act 2020</w:t>
      </w:r>
      <w:r w:rsidRPr="00236F6C">
        <w:rPr>
          <w:lang w:eastAsia="ja-JP"/>
        </w:rPr>
        <w:t xml:space="preserve"> may limit the use and disclosure of certain information. It may also not be appropriate to report on matters where parties are seeking review or are subject to legal challenge.</w:t>
      </w:r>
    </w:p>
    <w:p w14:paraId="4BE57802" w14:textId="623EEEB2" w:rsidR="0020138A" w:rsidRDefault="006D6E04" w:rsidP="006D6E04">
      <w:pPr>
        <w:pStyle w:val="Heading4"/>
        <w:numPr>
          <w:ilvl w:val="0"/>
          <w:numId w:val="0"/>
        </w:numPr>
        <w:ind w:left="964" w:hanging="964"/>
        <w:rPr>
          <w:lang w:eastAsia="ja-JP"/>
        </w:rPr>
      </w:pPr>
      <w:r>
        <w:rPr>
          <w:lang w:eastAsia="ja-JP"/>
        </w:rPr>
        <w:t>Recommendation 4</w:t>
      </w:r>
    </w:p>
    <w:p w14:paraId="235815FB" w14:textId="48366BAC" w:rsidR="006D6E04" w:rsidRDefault="00580DB0" w:rsidP="006D6E04">
      <w:pPr>
        <w:rPr>
          <w:lang w:eastAsia="ja-JP"/>
        </w:rPr>
      </w:pPr>
      <w:r w:rsidRPr="00580DB0">
        <w:rPr>
          <w:lang w:eastAsia="ja-JP"/>
        </w:rPr>
        <w:t>The department should reformat summary independent observer reports to become outcome reports. The reports need to include all non-compliance against ASEL, observed and verified mortalities, exporter mitigating actions and departmental regulatory actions.</w:t>
      </w:r>
    </w:p>
    <w:p w14:paraId="6A18ADFB" w14:textId="37D12B48" w:rsidR="006D6E04" w:rsidRDefault="006D6E04" w:rsidP="00835428">
      <w:pPr>
        <w:keepNext/>
        <w:rPr>
          <w:lang w:eastAsia="ja-JP"/>
        </w:rPr>
      </w:pPr>
      <w:r>
        <w:rPr>
          <w:lang w:eastAsia="ja-JP"/>
        </w:rPr>
        <w:lastRenderedPageBreak/>
        <w:t xml:space="preserve">Department’s response: </w:t>
      </w:r>
      <w:r w:rsidR="00236F6C">
        <w:rPr>
          <w:lang w:eastAsia="ja-JP"/>
        </w:rPr>
        <w:t>Agreed</w:t>
      </w:r>
    </w:p>
    <w:p w14:paraId="7AA365C9" w14:textId="6AA7B2F8" w:rsidR="00B226D5" w:rsidRDefault="00236F6C" w:rsidP="006D6E04">
      <w:pPr>
        <w:rPr>
          <w:lang w:eastAsia="ja-JP"/>
        </w:rPr>
      </w:pPr>
      <w:r w:rsidRPr="00236F6C">
        <w:rPr>
          <w:lang w:eastAsia="ja-JP"/>
        </w:rPr>
        <w:t>The department agrees to reformat the summary independent observer reports, noting that the recommended information is currently captured throughout the reports.</w:t>
      </w:r>
    </w:p>
    <w:p w14:paraId="07F4467C" w14:textId="7F185F01" w:rsidR="00B226D5" w:rsidRDefault="00B226D5" w:rsidP="00B226D5">
      <w:pPr>
        <w:pStyle w:val="Heading4"/>
        <w:numPr>
          <w:ilvl w:val="0"/>
          <w:numId w:val="0"/>
        </w:numPr>
        <w:ind w:left="964" w:hanging="964"/>
        <w:rPr>
          <w:lang w:eastAsia="ja-JP"/>
        </w:rPr>
      </w:pPr>
      <w:r>
        <w:rPr>
          <w:lang w:eastAsia="ja-JP"/>
        </w:rPr>
        <w:t>Recommendation 5</w:t>
      </w:r>
    </w:p>
    <w:p w14:paraId="6501AA50" w14:textId="41D3CCFA" w:rsidR="00B226D5" w:rsidRDefault="00833029" w:rsidP="00B226D5">
      <w:pPr>
        <w:rPr>
          <w:lang w:eastAsia="ja-JP"/>
        </w:rPr>
      </w:pPr>
      <w:r w:rsidRPr="00833029">
        <w:rPr>
          <w:lang w:eastAsia="ja-JP"/>
        </w:rPr>
        <w:t>The department should be consistent in its reports with naming of entities, scheduling publication, and inclusion of non-compliance and regulatory action taken information. In this regard, the department should consider whether integration and rationalisation of reporting would be beneficial to make information more easily accessible to stakeholders.</w:t>
      </w:r>
    </w:p>
    <w:p w14:paraId="0544BF81" w14:textId="2750CA9D" w:rsidR="00B226D5" w:rsidRDefault="00B226D5" w:rsidP="00B226D5">
      <w:pPr>
        <w:rPr>
          <w:lang w:eastAsia="ja-JP"/>
        </w:rPr>
      </w:pPr>
      <w:r>
        <w:rPr>
          <w:lang w:eastAsia="ja-JP"/>
        </w:rPr>
        <w:t xml:space="preserve">Department’s response: </w:t>
      </w:r>
      <w:r w:rsidR="00236F6C">
        <w:rPr>
          <w:lang w:eastAsia="ja-JP"/>
        </w:rPr>
        <w:t>Agreed</w:t>
      </w:r>
    </w:p>
    <w:p w14:paraId="639921EC" w14:textId="04C07C30" w:rsidR="00B226D5" w:rsidRDefault="00236F6C" w:rsidP="00236F6C">
      <w:pPr>
        <w:rPr>
          <w:lang w:eastAsia="ja-JP"/>
        </w:rPr>
      </w:pPr>
      <w:r>
        <w:rPr>
          <w:lang w:eastAsia="ja-JP"/>
        </w:rPr>
        <w:t xml:space="preserve">The department agrees to improve consistency across reports within legislative and procedural fairness constraints (including confidentiality of information provisions under the </w:t>
      </w:r>
      <w:r w:rsidR="007F39EC">
        <w:rPr>
          <w:lang w:eastAsia="ja-JP"/>
        </w:rPr>
        <w:br/>
      </w:r>
      <w:r w:rsidRPr="007F39EC">
        <w:rPr>
          <w:rStyle w:val="Emphasis"/>
          <w:lang w:eastAsia="ja-JP"/>
        </w:rPr>
        <w:t>Export Control Act 2020</w:t>
      </w:r>
      <w:r>
        <w:rPr>
          <w:lang w:eastAsia="ja-JP"/>
        </w:rPr>
        <w:t>).</w:t>
      </w:r>
    </w:p>
    <w:p w14:paraId="01D0D823" w14:textId="3F02B619" w:rsidR="00A70240" w:rsidRDefault="00B226D5" w:rsidP="00A70240">
      <w:pPr>
        <w:pStyle w:val="Heading4"/>
        <w:numPr>
          <w:ilvl w:val="0"/>
          <w:numId w:val="0"/>
        </w:numPr>
        <w:ind w:left="964" w:hanging="964"/>
        <w:rPr>
          <w:lang w:eastAsia="ja-JP"/>
        </w:rPr>
      </w:pPr>
      <w:r>
        <w:rPr>
          <w:lang w:eastAsia="ja-JP"/>
        </w:rPr>
        <w:t>Recommendation 6</w:t>
      </w:r>
      <w:bookmarkEnd w:id="51"/>
    </w:p>
    <w:p w14:paraId="29B735F6" w14:textId="4D28499D" w:rsidR="00495E14" w:rsidRDefault="00A70240" w:rsidP="00A70240">
      <w:pPr>
        <w:rPr>
          <w:lang w:eastAsia="ja-JP"/>
        </w:rPr>
      </w:pPr>
      <w:r w:rsidRPr="00A70240">
        <w:rPr>
          <w:lang w:eastAsia="ja-JP"/>
        </w:rPr>
        <w:t xml:space="preserve">The department develop and publish a service level commitment for the provision of IO observational data to exporters, and for the publication of </w:t>
      </w:r>
      <w:proofErr w:type="gramStart"/>
      <w:r w:rsidRPr="00A70240">
        <w:rPr>
          <w:lang w:eastAsia="ja-JP"/>
        </w:rPr>
        <w:t>all of</w:t>
      </w:r>
      <w:proofErr w:type="gramEnd"/>
      <w:r w:rsidRPr="00A70240">
        <w:rPr>
          <w:lang w:eastAsia="ja-JP"/>
        </w:rPr>
        <w:t xml:space="preserve"> its live animal export reports.</w:t>
      </w:r>
    </w:p>
    <w:p w14:paraId="1D9CF90F" w14:textId="221385EE" w:rsidR="00D16F3D" w:rsidRDefault="00D16F3D" w:rsidP="00A70240">
      <w:pPr>
        <w:rPr>
          <w:lang w:eastAsia="ja-JP"/>
        </w:rPr>
      </w:pPr>
      <w:r>
        <w:rPr>
          <w:lang w:eastAsia="ja-JP"/>
        </w:rPr>
        <w:t xml:space="preserve">Department’s response: </w:t>
      </w:r>
      <w:r w:rsidR="00236F6C">
        <w:rPr>
          <w:lang w:eastAsia="ja-JP"/>
        </w:rPr>
        <w:t>Agreed</w:t>
      </w:r>
    </w:p>
    <w:p w14:paraId="77AB23E0" w14:textId="7B8C3218" w:rsidR="00236F6C" w:rsidRDefault="00236F6C" w:rsidP="00236F6C">
      <w:pPr>
        <w:rPr>
          <w:lang w:eastAsia="ja-JP"/>
        </w:rPr>
      </w:pPr>
      <w:r>
        <w:rPr>
          <w:lang w:eastAsia="ja-JP"/>
        </w:rPr>
        <w:t>The department will work with exporters regarding the timely provision of the information gathered by independent observers following a voyage.</w:t>
      </w:r>
    </w:p>
    <w:p w14:paraId="6205B4DB" w14:textId="5DE6BB45" w:rsidR="00236F6C" w:rsidRDefault="00236F6C" w:rsidP="00236F6C">
      <w:pPr>
        <w:rPr>
          <w:lang w:eastAsia="ja-JP"/>
        </w:rPr>
      </w:pPr>
      <w:r>
        <w:rPr>
          <w:lang w:eastAsia="ja-JP"/>
        </w:rPr>
        <w:t>To provide more predictability for stakeholders regarding the publishing of our reports, we will publish finalised IO reports on a quarterly basis aligning with ESCAS reporting.</w:t>
      </w:r>
    </w:p>
    <w:p w14:paraId="513A8EBF" w14:textId="28DA9579" w:rsidR="00EE3AA2" w:rsidRDefault="00EE3AA2" w:rsidP="00E60E92">
      <w:pPr>
        <w:pStyle w:val="Heading2"/>
        <w:numPr>
          <w:ilvl w:val="0"/>
          <w:numId w:val="0"/>
        </w:numPr>
        <w:ind w:left="720" w:hanging="720"/>
      </w:pPr>
      <w:bookmarkStart w:id="53" w:name="_Appendix_B:_Industry"/>
      <w:bookmarkStart w:id="54" w:name="_Toc131596847"/>
      <w:bookmarkStart w:id="55" w:name="_Toc430782161"/>
      <w:bookmarkEnd w:id="53"/>
      <w:r>
        <w:lastRenderedPageBreak/>
        <w:t xml:space="preserve">Appendix B: </w:t>
      </w:r>
      <w:r w:rsidR="002F632B">
        <w:t>I</w:t>
      </w:r>
      <w:r>
        <w:t>ndustry engagement forum</w:t>
      </w:r>
      <w:r w:rsidR="002F632B">
        <w:t>s</w:t>
      </w:r>
      <w:bookmarkEnd w:id="54"/>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4965"/>
        <w:gridCol w:w="1701"/>
      </w:tblGrid>
      <w:tr w:rsidR="00B7246F" w14:paraId="46941663" w14:textId="77777777" w:rsidTr="3CE7DD6E">
        <w:trPr>
          <w:tblHeader/>
        </w:trPr>
        <w:tc>
          <w:tcPr>
            <w:tcW w:w="2265" w:type="dxa"/>
          </w:tcPr>
          <w:p w14:paraId="42A791DD" w14:textId="6392BA50" w:rsidR="00B7246F" w:rsidRDefault="00B7246F" w:rsidP="00C20DDF">
            <w:pPr>
              <w:pStyle w:val="TableHeading"/>
              <w:rPr>
                <w:lang w:eastAsia="ja-JP"/>
              </w:rPr>
            </w:pPr>
            <w:bookmarkStart w:id="56" w:name="Title_2"/>
            <w:bookmarkEnd w:id="56"/>
            <w:r>
              <w:rPr>
                <w:lang w:eastAsia="ja-JP"/>
              </w:rPr>
              <w:t>Forum name</w:t>
            </w:r>
          </w:p>
        </w:tc>
        <w:tc>
          <w:tcPr>
            <w:tcW w:w="4965" w:type="dxa"/>
          </w:tcPr>
          <w:p w14:paraId="059A8C2D" w14:textId="0FA2A6BD" w:rsidR="00B7246F" w:rsidRDefault="00B7246F" w:rsidP="00C20DDF">
            <w:pPr>
              <w:pStyle w:val="TableHeading"/>
              <w:rPr>
                <w:lang w:eastAsia="ja-JP"/>
              </w:rPr>
            </w:pPr>
            <w:r>
              <w:rPr>
                <w:lang w:eastAsia="ja-JP"/>
              </w:rPr>
              <w:t>Purpose</w:t>
            </w:r>
          </w:p>
        </w:tc>
        <w:tc>
          <w:tcPr>
            <w:tcW w:w="1701" w:type="dxa"/>
          </w:tcPr>
          <w:p w14:paraId="15004642" w14:textId="7660DDC7" w:rsidR="00B7246F" w:rsidRDefault="00B7246F" w:rsidP="00C20DDF">
            <w:pPr>
              <w:pStyle w:val="TableHeading"/>
              <w:rPr>
                <w:lang w:eastAsia="ja-JP"/>
              </w:rPr>
            </w:pPr>
            <w:r>
              <w:rPr>
                <w:lang w:eastAsia="ja-JP"/>
              </w:rPr>
              <w:t>Frequency</w:t>
            </w:r>
          </w:p>
        </w:tc>
      </w:tr>
      <w:tr w:rsidR="00B7246F" w14:paraId="7B85423F" w14:textId="77777777" w:rsidTr="3CE7DD6E">
        <w:tc>
          <w:tcPr>
            <w:tcW w:w="2265" w:type="dxa"/>
            <w:shd w:val="clear" w:color="auto" w:fill="auto"/>
          </w:tcPr>
          <w:p w14:paraId="3A2BA796" w14:textId="060C871A" w:rsidR="00B7246F" w:rsidRDefault="00B7246F" w:rsidP="00C20DDF">
            <w:pPr>
              <w:pStyle w:val="TableText"/>
              <w:rPr>
                <w:lang w:eastAsia="ja-JP"/>
              </w:rPr>
            </w:pPr>
            <w:r w:rsidRPr="009C5B18">
              <w:t>Livestock Export Industry Consultative Meeting</w:t>
            </w:r>
          </w:p>
        </w:tc>
        <w:tc>
          <w:tcPr>
            <w:tcW w:w="4965" w:type="dxa"/>
          </w:tcPr>
          <w:p w14:paraId="334EC4B1" w14:textId="0F8D4D65" w:rsidR="00B7246F" w:rsidRDefault="00B7246F" w:rsidP="00C20DDF">
            <w:pPr>
              <w:pStyle w:val="TableText"/>
              <w:rPr>
                <w:lang w:eastAsia="ja-JP"/>
              </w:rPr>
            </w:pPr>
            <w:r>
              <w:rPr>
                <w:lang w:eastAsia="ja-JP"/>
              </w:rPr>
              <w:t xml:space="preserve">Discuss regulation </w:t>
            </w:r>
            <w:r w:rsidR="00DA5E98">
              <w:rPr>
                <w:lang w:eastAsia="ja-JP"/>
              </w:rPr>
              <w:t xml:space="preserve">with </w:t>
            </w:r>
            <w:r>
              <w:rPr>
                <w:lang w:eastAsia="ja-JP"/>
              </w:rPr>
              <w:t>livestock export</w:t>
            </w:r>
            <w:r w:rsidR="00DA5E98">
              <w:rPr>
                <w:lang w:eastAsia="ja-JP"/>
              </w:rPr>
              <w:t>ers and peak bodies.</w:t>
            </w:r>
          </w:p>
        </w:tc>
        <w:tc>
          <w:tcPr>
            <w:tcW w:w="1701" w:type="dxa"/>
          </w:tcPr>
          <w:p w14:paraId="6FDC8FCB" w14:textId="0375CE87" w:rsidR="00B7246F" w:rsidRDefault="00B7246F" w:rsidP="00257AA9">
            <w:pPr>
              <w:pStyle w:val="TableText"/>
              <w:rPr>
                <w:lang w:eastAsia="ja-JP"/>
              </w:rPr>
            </w:pPr>
            <w:r>
              <w:rPr>
                <w:lang w:eastAsia="ja-JP"/>
              </w:rPr>
              <w:t>2 times a year</w:t>
            </w:r>
          </w:p>
        </w:tc>
      </w:tr>
      <w:tr w:rsidR="00B7246F" w14:paraId="18078702" w14:textId="77777777" w:rsidTr="3CE7DD6E">
        <w:tc>
          <w:tcPr>
            <w:tcW w:w="2265" w:type="dxa"/>
            <w:shd w:val="clear" w:color="auto" w:fill="auto"/>
          </w:tcPr>
          <w:p w14:paraId="424B737B" w14:textId="174FE89E" w:rsidR="00B7246F" w:rsidRPr="00E9096B" w:rsidRDefault="00B7246F" w:rsidP="00C20DDF">
            <w:pPr>
              <w:pStyle w:val="TableText"/>
              <w:rPr>
                <w:lang w:eastAsia="ja-JP"/>
              </w:rPr>
            </w:pPr>
            <w:r w:rsidRPr="00E9096B">
              <w:t>Live Animal Exports Finance Industry Consultative Committee (LAEFICC)</w:t>
            </w:r>
          </w:p>
        </w:tc>
        <w:tc>
          <w:tcPr>
            <w:tcW w:w="4965" w:type="dxa"/>
          </w:tcPr>
          <w:p w14:paraId="2915D08F" w14:textId="0C7BE6D8" w:rsidR="00B7246F" w:rsidRDefault="00B7246F" w:rsidP="00C20DDF">
            <w:pPr>
              <w:pStyle w:val="TableText"/>
              <w:rPr>
                <w:lang w:eastAsia="ja-JP"/>
              </w:rPr>
            </w:pPr>
            <w:r>
              <w:rPr>
                <w:lang w:eastAsia="ja-JP"/>
              </w:rPr>
              <w:t>P</w:t>
            </w:r>
            <w:r w:rsidRPr="00EE3AA2">
              <w:rPr>
                <w:lang w:eastAsia="ja-JP"/>
              </w:rPr>
              <w:t>rovide information to exporters</w:t>
            </w:r>
            <w:r w:rsidR="005D09C3">
              <w:rPr>
                <w:lang w:eastAsia="ja-JP"/>
              </w:rPr>
              <w:t xml:space="preserve"> and peak bodies</w:t>
            </w:r>
            <w:r w:rsidRPr="00EE3AA2">
              <w:rPr>
                <w:lang w:eastAsia="ja-JP"/>
              </w:rPr>
              <w:t xml:space="preserve"> about the Cost Recovery Implementation Statement, the department’s financial performance for live animal exports, and changes to fees and charges for the coming year.</w:t>
            </w:r>
          </w:p>
        </w:tc>
        <w:tc>
          <w:tcPr>
            <w:tcW w:w="1701" w:type="dxa"/>
          </w:tcPr>
          <w:p w14:paraId="44EECBA6" w14:textId="68558346" w:rsidR="00B7246F" w:rsidRDefault="00B7246F" w:rsidP="00257AA9">
            <w:pPr>
              <w:pStyle w:val="TableText"/>
              <w:rPr>
                <w:lang w:eastAsia="ja-JP"/>
              </w:rPr>
            </w:pPr>
            <w:r>
              <w:rPr>
                <w:lang w:eastAsia="ja-JP"/>
              </w:rPr>
              <w:t>3 times per year</w:t>
            </w:r>
          </w:p>
        </w:tc>
      </w:tr>
      <w:tr w:rsidR="00B7246F" w14:paraId="03D775BC" w14:textId="77777777" w:rsidTr="3CE7DD6E">
        <w:tc>
          <w:tcPr>
            <w:tcW w:w="2265" w:type="dxa"/>
            <w:shd w:val="clear" w:color="auto" w:fill="auto"/>
          </w:tcPr>
          <w:p w14:paraId="73D31A2F" w14:textId="1AE5D7F7" w:rsidR="00B7246F" w:rsidRPr="00E9096B" w:rsidRDefault="00B7246F" w:rsidP="00C20DDF">
            <w:pPr>
              <w:pStyle w:val="TableText"/>
              <w:rPr>
                <w:lang w:eastAsia="ja-JP"/>
              </w:rPr>
            </w:pPr>
            <w:r w:rsidRPr="00E9096B">
              <w:t>Live Animal Exports Roundtable Working Group (RTWG)</w:t>
            </w:r>
          </w:p>
        </w:tc>
        <w:tc>
          <w:tcPr>
            <w:tcW w:w="4965" w:type="dxa"/>
          </w:tcPr>
          <w:p w14:paraId="19DEC955" w14:textId="4AA8B3C1" w:rsidR="00B7246F" w:rsidRDefault="00B7246F" w:rsidP="00257AA9">
            <w:pPr>
              <w:pStyle w:val="TableBullet1"/>
              <w:rPr>
                <w:lang w:eastAsia="ja-JP"/>
              </w:rPr>
            </w:pPr>
            <w:r>
              <w:rPr>
                <w:lang w:eastAsia="ja-JP"/>
              </w:rPr>
              <w:t xml:space="preserve">Oversee the progress of the RTWG final report work plan. </w:t>
            </w:r>
          </w:p>
          <w:p w14:paraId="12DE865E" w14:textId="0774A7CA" w:rsidR="00B7246F" w:rsidRDefault="00B7246F" w:rsidP="00257AA9">
            <w:pPr>
              <w:pStyle w:val="TableBullet1"/>
              <w:rPr>
                <w:lang w:eastAsia="ja-JP"/>
              </w:rPr>
            </w:pPr>
            <w:r>
              <w:rPr>
                <w:lang w:eastAsia="ja-JP"/>
              </w:rPr>
              <w:t>Provide advice to the LAEB project team on specific projects.</w:t>
            </w:r>
          </w:p>
          <w:p w14:paraId="1C9C76FD" w14:textId="3F4FD4F8" w:rsidR="00B7246F" w:rsidRDefault="00B7246F" w:rsidP="00257AA9">
            <w:pPr>
              <w:pStyle w:val="TableBullet1"/>
              <w:rPr>
                <w:lang w:eastAsia="ja-JP"/>
              </w:rPr>
            </w:pPr>
            <w:r>
              <w:rPr>
                <w:lang w:eastAsia="ja-JP"/>
              </w:rPr>
              <w:t xml:space="preserve">Discuss significant topics related to livestock exports to better understand </w:t>
            </w:r>
            <w:r w:rsidR="005D09C3">
              <w:rPr>
                <w:lang w:eastAsia="ja-JP"/>
              </w:rPr>
              <w:t>exporters and departmental</w:t>
            </w:r>
            <w:r>
              <w:rPr>
                <w:lang w:eastAsia="ja-JP"/>
              </w:rPr>
              <w:t xml:space="preserve"> positions.</w:t>
            </w:r>
          </w:p>
        </w:tc>
        <w:tc>
          <w:tcPr>
            <w:tcW w:w="1701" w:type="dxa"/>
          </w:tcPr>
          <w:p w14:paraId="398D7BE9" w14:textId="4864ED2B" w:rsidR="00B7246F" w:rsidRDefault="00B7246F" w:rsidP="00C20DDF">
            <w:pPr>
              <w:pStyle w:val="TableText"/>
              <w:rPr>
                <w:lang w:eastAsia="ja-JP"/>
              </w:rPr>
            </w:pPr>
            <w:r w:rsidRPr="00EE3AA2">
              <w:rPr>
                <w:lang w:eastAsia="ja-JP"/>
              </w:rPr>
              <w:t>Every 2 months – alternating months with RTWG-CEO level meeting (below)</w:t>
            </w:r>
          </w:p>
        </w:tc>
      </w:tr>
      <w:tr w:rsidR="00B7246F" w14:paraId="092E0FC2" w14:textId="77777777" w:rsidTr="3CE7DD6E">
        <w:tc>
          <w:tcPr>
            <w:tcW w:w="2265" w:type="dxa"/>
            <w:shd w:val="clear" w:color="auto" w:fill="auto"/>
          </w:tcPr>
          <w:p w14:paraId="7BCC69D6" w14:textId="3053131E" w:rsidR="00B7246F" w:rsidRPr="00E9096B" w:rsidRDefault="00B7246F" w:rsidP="00C20DDF">
            <w:pPr>
              <w:pStyle w:val="TableText"/>
              <w:rPr>
                <w:lang w:eastAsia="ja-JP"/>
              </w:rPr>
            </w:pPr>
            <w:r>
              <w:t>Live Animal Exports Roundtable Working Group -</w:t>
            </w:r>
            <w:r w:rsidR="00A97A6E">
              <w:t xml:space="preserve"> </w:t>
            </w:r>
            <w:r>
              <w:t>CEO Level Meeting</w:t>
            </w:r>
          </w:p>
        </w:tc>
        <w:tc>
          <w:tcPr>
            <w:tcW w:w="4965" w:type="dxa"/>
          </w:tcPr>
          <w:p w14:paraId="1B6448C5" w14:textId="6031047B" w:rsidR="00B7246F" w:rsidRDefault="00B7246F" w:rsidP="00257AA9">
            <w:pPr>
              <w:pStyle w:val="TableBullet1"/>
              <w:rPr>
                <w:lang w:eastAsia="ja-JP"/>
              </w:rPr>
            </w:pPr>
            <w:r>
              <w:rPr>
                <w:lang w:eastAsia="ja-JP"/>
              </w:rPr>
              <w:t xml:space="preserve">Oversee the progress of the RTWG final report work plan between full RTWG meetings. </w:t>
            </w:r>
          </w:p>
          <w:p w14:paraId="714880CF" w14:textId="7786F592" w:rsidR="00B7246F" w:rsidRDefault="00B7246F" w:rsidP="00257AA9">
            <w:pPr>
              <w:pStyle w:val="TableBullet1"/>
              <w:rPr>
                <w:lang w:eastAsia="ja-JP"/>
              </w:rPr>
            </w:pPr>
            <w:r>
              <w:rPr>
                <w:lang w:eastAsia="ja-JP"/>
              </w:rPr>
              <w:t xml:space="preserve">Provide advice to the project team on specific projects between full RTWG meetings. </w:t>
            </w:r>
          </w:p>
          <w:p w14:paraId="1DC0C32F" w14:textId="5C24B65B" w:rsidR="00B7246F" w:rsidRDefault="00B7246F" w:rsidP="00257AA9">
            <w:pPr>
              <w:pStyle w:val="TableBullet1"/>
              <w:rPr>
                <w:lang w:eastAsia="ja-JP"/>
              </w:rPr>
            </w:pPr>
            <w:r>
              <w:rPr>
                <w:lang w:eastAsia="ja-JP"/>
              </w:rPr>
              <w:t>Discuss significant topics related to livestock exports to understand everyone’s positions between full RTWG meetings.</w:t>
            </w:r>
          </w:p>
        </w:tc>
        <w:tc>
          <w:tcPr>
            <w:tcW w:w="1701" w:type="dxa"/>
          </w:tcPr>
          <w:p w14:paraId="070C97F4" w14:textId="0FCE617D" w:rsidR="00B7246F" w:rsidRDefault="00B7246F" w:rsidP="00C20DDF">
            <w:pPr>
              <w:pStyle w:val="TableText"/>
              <w:rPr>
                <w:lang w:eastAsia="ja-JP"/>
              </w:rPr>
            </w:pPr>
            <w:r w:rsidRPr="3CDD4E0D">
              <w:rPr>
                <w:lang w:eastAsia="ja-JP"/>
              </w:rPr>
              <w:t>Every 2 months – alternating months with RTWG meeting (above)</w:t>
            </w:r>
          </w:p>
        </w:tc>
      </w:tr>
      <w:tr w:rsidR="00B7246F" w14:paraId="0669381D" w14:textId="77777777" w:rsidTr="3CE7DD6E">
        <w:tc>
          <w:tcPr>
            <w:tcW w:w="2265" w:type="dxa"/>
            <w:shd w:val="clear" w:color="auto" w:fill="auto"/>
          </w:tcPr>
          <w:p w14:paraId="471F4E15" w14:textId="067DEE23" w:rsidR="00B7246F" w:rsidRPr="00E9096B" w:rsidRDefault="00B7246F" w:rsidP="00C20DDF">
            <w:pPr>
              <w:pStyle w:val="TableText"/>
              <w:rPr>
                <w:lang w:eastAsia="ja-JP"/>
              </w:rPr>
            </w:pPr>
            <w:r w:rsidRPr="00E9096B">
              <w:t>LAE Industry Teleconference</w:t>
            </w:r>
          </w:p>
        </w:tc>
        <w:tc>
          <w:tcPr>
            <w:tcW w:w="4965" w:type="dxa"/>
          </w:tcPr>
          <w:p w14:paraId="76010D9E" w14:textId="74AA01F0" w:rsidR="00B7246F" w:rsidRDefault="41CD1875" w:rsidP="00C20DDF">
            <w:pPr>
              <w:pStyle w:val="TableText"/>
              <w:rPr>
                <w:lang w:eastAsia="ja-JP"/>
              </w:rPr>
            </w:pPr>
            <w:r w:rsidRPr="3CE7DD6E">
              <w:rPr>
                <w:lang w:eastAsia="ja-JP"/>
              </w:rPr>
              <w:t>Provide information to exporters</w:t>
            </w:r>
            <w:r w:rsidR="0084577F">
              <w:rPr>
                <w:lang w:eastAsia="ja-JP"/>
              </w:rPr>
              <w:t>, AAVs,</w:t>
            </w:r>
            <w:r w:rsidR="00ED68AC">
              <w:rPr>
                <w:lang w:eastAsia="ja-JP"/>
              </w:rPr>
              <w:t xml:space="preserve"> </w:t>
            </w:r>
            <w:r w:rsidR="76BF78B1" w:rsidRPr="3CE7DD6E">
              <w:rPr>
                <w:lang w:eastAsia="ja-JP"/>
              </w:rPr>
              <w:t>peak bodies</w:t>
            </w:r>
            <w:r w:rsidRPr="3CE7DD6E">
              <w:rPr>
                <w:lang w:eastAsia="ja-JP"/>
              </w:rPr>
              <w:t xml:space="preserve"> </w:t>
            </w:r>
            <w:r w:rsidR="0084577F">
              <w:rPr>
                <w:lang w:eastAsia="ja-JP"/>
              </w:rPr>
              <w:t xml:space="preserve">and </w:t>
            </w:r>
            <w:r w:rsidR="002E3194">
              <w:rPr>
                <w:lang w:eastAsia="ja-JP"/>
              </w:rPr>
              <w:t xml:space="preserve">occupiers of </w:t>
            </w:r>
            <w:r w:rsidR="00F700A4">
              <w:rPr>
                <w:lang w:eastAsia="ja-JP"/>
              </w:rPr>
              <w:t xml:space="preserve">Registered Establishments </w:t>
            </w:r>
            <w:r w:rsidRPr="3CE7DD6E">
              <w:rPr>
                <w:lang w:eastAsia="ja-JP"/>
              </w:rPr>
              <w:t>about the regulation of livestock exports, and for participants to ask questions about information provided by the department (rather than individual consignments).</w:t>
            </w:r>
          </w:p>
        </w:tc>
        <w:tc>
          <w:tcPr>
            <w:tcW w:w="1701" w:type="dxa"/>
          </w:tcPr>
          <w:p w14:paraId="2174518C" w14:textId="2BEE56C8" w:rsidR="00B7246F" w:rsidRDefault="00B7246F" w:rsidP="00C20DDF">
            <w:pPr>
              <w:pStyle w:val="TableText"/>
              <w:rPr>
                <w:lang w:eastAsia="ja-JP"/>
              </w:rPr>
            </w:pPr>
            <w:r>
              <w:rPr>
                <w:lang w:eastAsia="ja-JP"/>
              </w:rPr>
              <w:t>Monthly</w:t>
            </w:r>
          </w:p>
        </w:tc>
      </w:tr>
      <w:tr w:rsidR="00B7246F" w14:paraId="0095C7B3" w14:textId="77777777" w:rsidTr="3CE7DD6E">
        <w:tc>
          <w:tcPr>
            <w:tcW w:w="2265" w:type="dxa"/>
            <w:shd w:val="clear" w:color="auto" w:fill="auto"/>
          </w:tcPr>
          <w:p w14:paraId="373DDC3D" w14:textId="77777777" w:rsidR="00B7246F" w:rsidRPr="00E9096B" w:rsidRDefault="00B7246F" w:rsidP="00C20DDF">
            <w:pPr>
              <w:pStyle w:val="TableText"/>
            </w:pPr>
            <w:bookmarkStart w:id="57" w:name="_Hlk128382175"/>
            <w:r w:rsidRPr="00E9096B">
              <w:t xml:space="preserve">Livestock Export Animal </w:t>
            </w:r>
          </w:p>
          <w:p w14:paraId="0D9A5242" w14:textId="5B36E5F4" w:rsidR="00B7246F" w:rsidRPr="00E9096B" w:rsidRDefault="00B7246F" w:rsidP="00C20DDF">
            <w:pPr>
              <w:pStyle w:val="TableText"/>
              <w:rPr>
                <w:lang w:eastAsia="ja-JP"/>
              </w:rPr>
            </w:pPr>
            <w:r w:rsidRPr="00E9096B">
              <w:t>Welfare Advisory Group</w:t>
            </w:r>
            <w:bookmarkEnd w:id="57"/>
          </w:p>
        </w:tc>
        <w:tc>
          <w:tcPr>
            <w:tcW w:w="4965" w:type="dxa"/>
          </w:tcPr>
          <w:p w14:paraId="15F04225" w14:textId="6ED88EE4" w:rsidR="00B7246F" w:rsidRDefault="00B7246F" w:rsidP="00C20DDF">
            <w:pPr>
              <w:pStyle w:val="TableText"/>
              <w:rPr>
                <w:lang w:eastAsia="ja-JP"/>
              </w:rPr>
            </w:pPr>
            <w:r>
              <w:t>Provides for s</w:t>
            </w:r>
            <w:r w:rsidRPr="009C5B18">
              <w:t xml:space="preserve">trategic consultation between </w:t>
            </w:r>
            <w:r w:rsidR="005D09C3">
              <w:t>livestock industry, animal welfare organisations, state and territory animal welfare agencies and research groups</w:t>
            </w:r>
            <w:r w:rsidRPr="009C5B18">
              <w:t xml:space="preserve"> and the department about</w:t>
            </w:r>
            <w:r>
              <w:t xml:space="preserve"> livestock exports</w:t>
            </w:r>
            <w:r w:rsidRPr="009C5B18">
              <w:t xml:space="preserve"> animal welfare practices, </w:t>
            </w:r>
            <w:proofErr w:type="gramStart"/>
            <w:r w:rsidRPr="009C5B18">
              <w:t>standards</w:t>
            </w:r>
            <w:proofErr w:type="gramEnd"/>
            <w:r w:rsidRPr="009C5B18">
              <w:t xml:space="preserve"> and legislation in Australia.</w:t>
            </w:r>
          </w:p>
        </w:tc>
        <w:tc>
          <w:tcPr>
            <w:tcW w:w="1701" w:type="dxa"/>
          </w:tcPr>
          <w:p w14:paraId="3D26479B" w14:textId="74535408" w:rsidR="00B7246F" w:rsidRDefault="00B7246F" w:rsidP="00C20DDF">
            <w:pPr>
              <w:pStyle w:val="TableText"/>
              <w:rPr>
                <w:lang w:eastAsia="ja-JP"/>
              </w:rPr>
            </w:pPr>
            <w:r>
              <w:rPr>
                <w:lang w:eastAsia="ja-JP"/>
              </w:rPr>
              <w:t>2 times a year</w:t>
            </w:r>
          </w:p>
        </w:tc>
      </w:tr>
      <w:tr w:rsidR="00B7246F" w14:paraId="6401939E" w14:textId="77777777" w:rsidTr="3CE7DD6E">
        <w:tc>
          <w:tcPr>
            <w:tcW w:w="2265" w:type="dxa"/>
            <w:shd w:val="clear" w:color="auto" w:fill="auto"/>
          </w:tcPr>
          <w:p w14:paraId="4DEF59E8" w14:textId="77777777" w:rsidR="00B7246F" w:rsidRPr="00E9096B" w:rsidRDefault="00B7246F" w:rsidP="00C20DDF">
            <w:pPr>
              <w:pStyle w:val="TableText"/>
            </w:pPr>
            <w:r w:rsidRPr="00E9096B">
              <w:t xml:space="preserve">Livestock Export Animal </w:t>
            </w:r>
          </w:p>
          <w:p w14:paraId="7258E58E" w14:textId="77777777" w:rsidR="00B7246F" w:rsidRPr="00E9096B" w:rsidRDefault="00B7246F" w:rsidP="00C20DDF">
            <w:pPr>
              <w:pStyle w:val="TableText"/>
            </w:pPr>
            <w:r w:rsidRPr="00E9096B">
              <w:t xml:space="preserve">Welfare Collaboration </w:t>
            </w:r>
          </w:p>
          <w:p w14:paraId="0D1ACEF5" w14:textId="576B7557" w:rsidR="00B7246F" w:rsidRPr="00E9096B" w:rsidRDefault="00B7246F" w:rsidP="00C20DDF">
            <w:pPr>
              <w:pStyle w:val="TableText"/>
              <w:rPr>
                <w:lang w:eastAsia="ja-JP"/>
              </w:rPr>
            </w:pPr>
            <w:r w:rsidRPr="00E9096B">
              <w:t>Group</w:t>
            </w:r>
          </w:p>
        </w:tc>
        <w:tc>
          <w:tcPr>
            <w:tcW w:w="4965" w:type="dxa"/>
          </w:tcPr>
          <w:p w14:paraId="1B744361" w14:textId="7103316D" w:rsidR="00B7246F" w:rsidRDefault="00B7246F" w:rsidP="00C20DDF">
            <w:pPr>
              <w:pStyle w:val="TableText"/>
              <w:rPr>
                <w:lang w:eastAsia="ja-JP"/>
              </w:rPr>
            </w:pPr>
            <w:r>
              <w:t xml:space="preserve">Provides </w:t>
            </w:r>
            <w:r w:rsidRPr="009C5B18">
              <w:t xml:space="preserve">for collaboration and communication between key livestock export industry representatives and the department on projects and initiatives relevant to </w:t>
            </w:r>
            <w:r>
              <w:t xml:space="preserve">livestock export </w:t>
            </w:r>
            <w:r w:rsidRPr="009C5B18">
              <w:t>animal welfare.</w:t>
            </w:r>
          </w:p>
        </w:tc>
        <w:tc>
          <w:tcPr>
            <w:tcW w:w="1701" w:type="dxa"/>
          </w:tcPr>
          <w:p w14:paraId="5649B069" w14:textId="6F696789" w:rsidR="00B7246F" w:rsidRDefault="00B7246F" w:rsidP="00C20DDF">
            <w:pPr>
              <w:pStyle w:val="TableText"/>
              <w:rPr>
                <w:lang w:eastAsia="ja-JP"/>
              </w:rPr>
            </w:pPr>
            <w:r>
              <w:rPr>
                <w:lang w:eastAsia="ja-JP"/>
              </w:rPr>
              <w:t>2 months</w:t>
            </w:r>
          </w:p>
        </w:tc>
      </w:tr>
      <w:tr w:rsidR="00B7246F" w14:paraId="698669CE" w14:textId="77777777" w:rsidTr="3CE7DD6E">
        <w:tc>
          <w:tcPr>
            <w:tcW w:w="2265" w:type="dxa"/>
            <w:shd w:val="clear" w:color="auto" w:fill="auto"/>
          </w:tcPr>
          <w:p w14:paraId="56023FE2" w14:textId="1780236D" w:rsidR="00B7246F" w:rsidRPr="00E9096B" w:rsidRDefault="088D95C2" w:rsidP="00C20DDF">
            <w:pPr>
              <w:pStyle w:val="TableText"/>
            </w:pPr>
            <w:r>
              <w:t xml:space="preserve">Live Animal Exports Operations team meeting with </w:t>
            </w:r>
            <w:proofErr w:type="spellStart"/>
            <w:r>
              <w:t>LiveAir</w:t>
            </w:r>
            <w:proofErr w:type="spellEnd"/>
          </w:p>
        </w:tc>
        <w:tc>
          <w:tcPr>
            <w:tcW w:w="4965" w:type="dxa"/>
          </w:tcPr>
          <w:p w14:paraId="1CA0E56E" w14:textId="5EF21F09" w:rsidR="00B7246F" w:rsidRPr="009C5B18" w:rsidRDefault="00B7246F" w:rsidP="00C20DDF">
            <w:pPr>
              <w:pStyle w:val="TableText"/>
            </w:pPr>
            <w:r>
              <w:t>E</w:t>
            </w:r>
            <w:r w:rsidRPr="009C5B18">
              <w:t>nable feedback and discuss</w:t>
            </w:r>
            <w:r>
              <w:t>ion on</w:t>
            </w:r>
            <w:r w:rsidRPr="009C5B18">
              <w:t xml:space="preserve"> operational issues and matters of interest specific to </w:t>
            </w:r>
            <w:r>
              <w:t>livestock exporters</w:t>
            </w:r>
            <w:r w:rsidRPr="009C5B18">
              <w:t xml:space="preserve"> by air.</w:t>
            </w:r>
          </w:p>
        </w:tc>
        <w:tc>
          <w:tcPr>
            <w:tcW w:w="1701" w:type="dxa"/>
          </w:tcPr>
          <w:p w14:paraId="638E6A07" w14:textId="6CEA3112" w:rsidR="00B7246F" w:rsidRDefault="00B7246F" w:rsidP="00C20DDF">
            <w:pPr>
              <w:pStyle w:val="TableText"/>
              <w:rPr>
                <w:lang w:eastAsia="ja-JP"/>
              </w:rPr>
            </w:pPr>
            <w:r>
              <w:rPr>
                <w:lang w:eastAsia="ja-JP"/>
              </w:rPr>
              <w:t>3 months</w:t>
            </w:r>
          </w:p>
        </w:tc>
      </w:tr>
      <w:tr w:rsidR="00B7246F" w14:paraId="43BFA9B6" w14:textId="77777777" w:rsidTr="3CE7DD6E">
        <w:tc>
          <w:tcPr>
            <w:tcW w:w="2265" w:type="dxa"/>
            <w:shd w:val="clear" w:color="auto" w:fill="auto"/>
          </w:tcPr>
          <w:p w14:paraId="35DB7089" w14:textId="77777777" w:rsidR="00B7246F" w:rsidRPr="00E9096B" w:rsidRDefault="00B7246F" w:rsidP="00C20DDF">
            <w:pPr>
              <w:pStyle w:val="TableText"/>
            </w:pPr>
            <w:r w:rsidRPr="00E9096B">
              <w:t xml:space="preserve">Livestock Export Animal </w:t>
            </w:r>
          </w:p>
          <w:p w14:paraId="3E79064B" w14:textId="77777777" w:rsidR="00B7246F" w:rsidRPr="00E9096B" w:rsidRDefault="00B7246F" w:rsidP="00C20DDF">
            <w:pPr>
              <w:pStyle w:val="TableText"/>
            </w:pPr>
            <w:r w:rsidRPr="00E9096B">
              <w:t xml:space="preserve">Welfare Collaboration </w:t>
            </w:r>
          </w:p>
          <w:p w14:paraId="77A586F3" w14:textId="397F3086" w:rsidR="00B7246F" w:rsidRPr="00E9096B" w:rsidRDefault="00B7246F" w:rsidP="00EE2A7D">
            <w:pPr>
              <w:pStyle w:val="TableText"/>
            </w:pPr>
            <w:r w:rsidRPr="00E9096B">
              <w:t>Group</w:t>
            </w:r>
            <w:r w:rsidRPr="00E9096B" w:rsidDel="00A02A1E">
              <w:t xml:space="preserve"> </w:t>
            </w:r>
            <w:r w:rsidRPr="00E9096B">
              <w:t>sub-group meetings</w:t>
            </w:r>
          </w:p>
        </w:tc>
        <w:tc>
          <w:tcPr>
            <w:tcW w:w="4965" w:type="dxa"/>
          </w:tcPr>
          <w:p w14:paraId="327C8AF4" w14:textId="651A1539" w:rsidR="00B7246F" w:rsidRPr="009C5B18" w:rsidRDefault="00B7246F" w:rsidP="00C20DDF">
            <w:pPr>
              <w:pStyle w:val="TableText"/>
            </w:pPr>
            <w:r>
              <w:t>P</w:t>
            </w:r>
            <w:r w:rsidRPr="009C5B18">
              <w:t>rovide</w:t>
            </w:r>
            <w:r>
              <w:t>s</w:t>
            </w:r>
            <w:r w:rsidRPr="009C5B18">
              <w:t xml:space="preserve"> for strategic consultation </w:t>
            </w:r>
            <w:r>
              <w:t>with</w:t>
            </w:r>
            <w:r w:rsidRPr="009C5B18">
              <w:t xml:space="preserve"> industry about</w:t>
            </w:r>
            <w:r>
              <w:t xml:space="preserve"> livestock exports</w:t>
            </w:r>
            <w:r w:rsidRPr="009C5B18">
              <w:t xml:space="preserve"> animal welfare practices, </w:t>
            </w:r>
            <w:proofErr w:type="gramStart"/>
            <w:r w:rsidRPr="009C5B18">
              <w:t>standards</w:t>
            </w:r>
            <w:proofErr w:type="gramEnd"/>
            <w:r w:rsidRPr="009C5B18">
              <w:t xml:space="preserve"> and legislation in Australia.</w:t>
            </w:r>
          </w:p>
          <w:p w14:paraId="7156D0FB" w14:textId="77777777" w:rsidR="00B7246F" w:rsidRPr="009C5B18" w:rsidRDefault="00B7246F" w:rsidP="00C20DDF">
            <w:pPr>
              <w:pStyle w:val="TableText"/>
            </w:pPr>
          </w:p>
        </w:tc>
        <w:tc>
          <w:tcPr>
            <w:tcW w:w="1701" w:type="dxa"/>
          </w:tcPr>
          <w:p w14:paraId="2A9C2838" w14:textId="553765C7" w:rsidR="00B7246F" w:rsidRDefault="00B7246F" w:rsidP="00C20DDF">
            <w:pPr>
              <w:pStyle w:val="TableText"/>
              <w:rPr>
                <w:lang w:eastAsia="ja-JP"/>
              </w:rPr>
            </w:pPr>
            <w:r>
              <w:rPr>
                <w:lang w:eastAsia="ja-JP"/>
              </w:rPr>
              <w:t>2 times a year</w:t>
            </w:r>
          </w:p>
        </w:tc>
      </w:tr>
      <w:tr w:rsidR="00B7246F" w14:paraId="046F7CF9" w14:textId="77777777" w:rsidTr="3CE7DD6E">
        <w:tc>
          <w:tcPr>
            <w:tcW w:w="2265" w:type="dxa"/>
            <w:shd w:val="clear" w:color="auto" w:fill="auto"/>
          </w:tcPr>
          <w:p w14:paraId="1697A212" w14:textId="0FE26A58" w:rsidR="00B7246F" w:rsidRPr="00E9096B" w:rsidRDefault="00B7246F" w:rsidP="00C20DDF">
            <w:pPr>
              <w:pStyle w:val="TableText"/>
            </w:pPr>
            <w:proofErr w:type="spellStart"/>
            <w:r w:rsidRPr="00E9096B">
              <w:t>Animark</w:t>
            </w:r>
            <w:proofErr w:type="spellEnd"/>
            <w:r w:rsidRPr="00E9096B">
              <w:t xml:space="preserve"> re LGAP implementation</w:t>
            </w:r>
          </w:p>
        </w:tc>
        <w:tc>
          <w:tcPr>
            <w:tcW w:w="4965" w:type="dxa"/>
          </w:tcPr>
          <w:p w14:paraId="4A0F417B" w14:textId="6FD8CBCF" w:rsidR="00B7246F" w:rsidRPr="009C5B18" w:rsidRDefault="00B7246F" w:rsidP="00C20DDF">
            <w:pPr>
              <w:pStyle w:val="TableText"/>
            </w:pPr>
            <w:r>
              <w:t>M</w:t>
            </w:r>
            <w:r w:rsidRPr="00734567">
              <w:t xml:space="preserve">onitoring </w:t>
            </w:r>
            <w:proofErr w:type="spellStart"/>
            <w:r w:rsidRPr="00734567">
              <w:t>AniMark’s</w:t>
            </w:r>
            <w:proofErr w:type="spellEnd"/>
            <w:r w:rsidRPr="00734567">
              <w:t xml:space="preserve"> progress against revised LGAP implementation plan</w:t>
            </w:r>
            <w:r>
              <w:t>.</w:t>
            </w:r>
          </w:p>
        </w:tc>
        <w:tc>
          <w:tcPr>
            <w:tcW w:w="1701" w:type="dxa"/>
          </w:tcPr>
          <w:p w14:paraId="464FF4CF" w14:textId="3C93BE09" w:rsidR="00B7246F" w:rsidRDefault="00B7246F" w:rsidP="00C20DDF">
            <w:pPr>
              <w:pStyle w:val="TableText"/>
              <w:rPr>
                <w:lang w:eastAsia="ja-JP"/>
              </w:rPr>
            </w:pPr>
            <w:r>
              <w:rPr>
                <w:lang w:eastAsia="ja-JP"/>
              </w:rPr>
              <w:t>Monthly</w:t>
            </w:r>
          </w:p>
        </w:tc>
      </w:tr>
      <w:tr w:rsidR="00B7246F" w14:paraId="66033CC9" w14:textId="77777777" w:rsidTr="3CE7DD6E">
        <w:tc>
          <w:tcPr>
            <w:tcW w:w="2265" w:type="dxa"/>
            <w:shd w:val="clear" w:color="auto" w:fill="auto"/>
          </w:tcPr>
          <w:p w14:paraId="0F4471FE" w14:textId="5690ADA3" w:rsidR="00B7246F" w:rsidRPr="00E9096B" w:rsidRDefault="00B7246F" w:rsidP="00C20DDF">
            <w:pPr>
              <w:pStyle w:val="TableText"/>
            </w:pPr>
            <w:r w:rsidRPr="00E9096B">
              <w:rPr>
                <w:rFonts w:ascii="Calibri" w:hAnsi="Calibri" w:cs="Calibri"/>
                <w:szCs w:val="18"/>
              </w:rPr>
              <w:t>Australian Maritime Safety Authority (AMSA) meeting</w:t>
            </w:r>
          </w:p>
        </w:tc>
        <w:tc>
          <w:tcPr>
            <w:tcW w:w="4965" w:type="dxa"/>
          </w:tcPr>
          <w:p w14:paraId="5C1D203C" w14:textId="3B54CD22" w:rsidR="00B7246F" w:rsidRPr="009C5B18" w:rsidRDefault="00B7246F" w:rsidP="00C20DDF">
            <w:pPr>
              <w:pStyle w:val="TableText"/>
            </w:pPr>
            <w:r>
              <w:t>D</w:t>
            </w:r>
            <w:r w:rsidRPr="00D679E7">
              <w:t xml:space="preserve">iscuss projects, </w:t>
            </w:r>
            <w:proofErr w:type="gramStart"/>
            <w:r w:rsidRPr="00D679E7">
              <w:t>issues</w:t>
            </w:r>
            <w:proofErr w:type="gramEnd"/>
            <w:r w:rsidRPr="00D679E7">
              <w:t xml:space="preserve"> and regulation between the </w:t>
            </w:r>
            <w:r>
              <w:t>2</w:t>
            </w:r>
            <w:r w:rsidRPr="00D679E7">
              <w:t xml:space="preserve"> </w:t>
            </w:r>
            <w:r w:rsidR="005D09C3">
              <w:t xml:space="preserve">government </w:t>
            </w:r>
            <w:r w:rsidRPr="00D679E7">
              <w:t>organisations</w:t>
            </w:r>
            <w:r w:rsidR="005D09C3">
              <w:t>.</w:t>
            </w:r>
          </w:p>
        </w:tc>
        <w:tc>
          <w:tcPr>
            <w:tcW w:w="1701" w:type="dxa"/>
          </w:tcPr>
          <w:p w14:paraId="646A887E" w14:textId="2D774535" w:rsidR="00B7246F" w:rsidRDefault="00B7246F" w:rsidP="00C20DDF">
            <w:pPr>
              <w:pStyle w:val="TableText"/>
              <w:rPr>
                <w:lang w:eastAsia="ja-JP"/>
              </w:rPr>
            </w:pPr>
            <w:r>
              <w:rPr>
                <w:lang w:eastAsia="ja-JP"/>
              </w:rPr>
              <w:t>Monthly</w:t>
            </w:r>
          </w:p>
        </w:tc>
      </w:tr>
      <w:tr w:rsidR="00B7246F" w14:paraId="1DC75014" w14:textId="77777777" w:rsidTr="3CE7DD6E">
        <w:tc>
          <w:tcPr>
            <w:tcW w:w="2265" w:type="dxa"/>
            <w:shd w:val="clear" w:color="auto" w:fill="auto"/>
          </w:tcPr>
          <w:p w14:paraId="345909EB" w14:textId="3027928B" w:rsidR="00B7246F" w:rsidRPr="00E9096B" w:rsidRDefault="088D95C2" w:rsidP="3CE7DD6E">
            <w:pPr>
              <w:pStyle w:val="TableText"/>
              <w:rPr>
                <w:rFonts w:ascii="Calibri" w:hAnsi="Calibri" w:cs="Calibri"/>
              </w:rPr>
            </w:pPr>
            <w:r w:rsidRPr="3CE7DD6E">
              <w:rPr>
                <w:rFonts w:ascii="Calibri" w:hAnsi="Calibri" w:cs="Calibri"/>
              </w:rPr>
              <w:t>Data and digital working group meeting with Live</w:t>
            </w:r>
            <w:r w:rsidR="0EF42C26" w:rsidRPr="3CE7DD6E">
              <w:rPr>
                <w:rFonts w:ascii="Calibri" w:hAnsi="Calibri" w:cs="Calibri"/>
              </w:rPr>
              <w:t>C</w:t>
            </w:r>
            <w:r w:rsidRPr="3CE7DD6E">
              <w:rPr>
                <w:rFonts w:ascii="Calibri" w:hAnsi="Calibri" w:cs="Calibri"/>
              </w:rPr>
              <w:t>orp</w:t>
            </w:r>
          </w:p>
        </w:tc>
        <w:tc>
          <w:tcPr>
            <w:tcW w:w="4965" w:type="dxa"/>
          </w:tcPr>
          <w:p w14:paraId="28428273" w14:textId="391937D8" w:rsidR="00B7246F" w:rsidRPr="009C5B18" w:rsidRDefault="00B7246F" w:rsidP="00C20DDF">
            <w:pPr>
              <w:pStyle w:val="TableText"/>
            </w:pPr>
            <w:r>
              <w:t>D</w:t>
            </w:r>
            <w:r w:rsidRPr="00DB396B">
              <w:t>iscuss data sources, data uses and data projects</w:t>
            </w:r>
            <w:r w:rsidR="00A97A6E">
              <w:t>.</w:t>
            </w:r>
          </w:p>
        </w:tc>
        <w:tc>
          <w:tcPr>
            <w:tcW w:w="1701" w:type="dxa"/>
          </w:tcPr>
          <w:p w14:paraId="1A933E3C" w14:textId="261BB820" w:rsidR="00B7246F" w:rsidRDefault="00B7246F" w:rsidP="00C20DDF">
            <w:pPr>
              <w:pStyle w:val="TableText"/>
              <w:rPr>
                <w:lang w:eastAsia="ja-JP"/>
              </w:rPr>
            </w:pPr>
            <w:r>
              <w:rPr>
                <w:lang w:eastAsia="ja-JP"/>
              </w:rPr>
              <w:t>Monthly</w:t>
            </w:r>
          </w:p>
        </w:tc>
      </w:tr>
      <w:tr w:rsidR="00B7246F" w14:paraId="64FBA4A2" w14:textId="77777777" w:rsidTr="3CE7DD6E">
        <w:tc>
          <w:tcPr>
            <w:tcW w:w="2265" w:type="dxa"/>
            <w:shd w:val="clear" w:color="auto" w:fill="auto"/>
          </w:tcPr>
          <w:p w14:paraId="0A0D4FE8" w14:textId="1D219EF4" w:rsidR="00B7246F" w:rsidRPr="00E9096B" w:rsidRDefault="00B7246F" w:rsidP="00C20DDF">
            <w:pPr>
              <w:pStyle w:val="TableText"/>
              <w:rPr>
                <w:rFonts w:ascii="Calibri" w:hAnsi="Calibri" w:cs="Calibri"/>
                <w:szCs w:val="18"/>
              </w:rPr>
            </w:pPr>
            <w:r w:rsidRPr="00E9096B">
              <w:rPr>
                <w:rFonts w:ascii="Calibri" w:hAnsi="Calibri" w:cs="Calibri"/>
                <w:szCs w:val="18"/>
              </w:rPr>
              <w:t>State and Territory Livestock Animal Exports and Animal Welfare Regulators Group</w:t>
            </w:r>
          </w:p>
        </w:tc>
        <w:tc>
          <w:tcPr>
            <w:tcW w:w="4965" w:type="dxa"/>
          </w:tcPr>
          <w:p w14:paraId="30062415" w14:textId="4A958247" w:rsidR="00B7246F" w:rsidRPr="009C5B18" w:rsidRDefault="00B7246F" w:rsidP="00C20DDF">
            <w:pPr>
              <w:pStyle w:val="TableText"/>
            </w:pPr>
            <w:r w:rsidRPr="00B81C13">
              <w:t>A forum to consult on current issues, share information, clarify roles and responsibilities, and better understand jurisdictional responsibilities along the livestock export chain.</w:t>
            </w:r>
          </w:p>
        </w:tc>
        <w:tc>
          <w:tcPr>
            <w:tcW w:w="1701" w:type="dxa"/>
          </w:tcPr>
          <w:p w14:paraId="76A2F771" w14:textId="6DDAB554" w:rsidR="00B7246F" w:rsidRDefault="00B7246F" w:rsidP="00C20DDF">
            <w:pPr>
              <w:pStyle w:val="TableText"/>
              <w:rPr>
                <w:lang w:eastAsia="ja-JP"/>
              </w:rPr>
            </w:pPr>
            <w:r>
              <w:rPr>
                <w:lang w:eastAsia="ja-JP"/>
              </w:rPr>
              <w:t>2 times a year</w:t>
            </w:r>
          </w:p>
        </w:tc>
      </w:tr>
    </w:tbl>
    <w:p w14:paraId="667962F9" w14:textId="5943405C" w:rsidR="00EE3AA2" w:rsidRDefault="00E60E92" w:rsidP="00E60E92">
      <w:pPr>
        <w:pStyle w:val="Heading2"/>
        <w:numPr>
          <w:ilvl w:val="0"/>
          <w:numId w:val="0"/>
        </w:numPr>
        <w:ind w:left="720" w:hanging="720"/>
      </w:pPr>
      <w:bookmarkStart w:id="58" w:name="_Toc131596848"/>
      <w:r>
        <w:lastRenderedPageBreak/>
        <w:t xml:space="preserve">Appendix C: </w:t>
      </w:r>
      <w:r w:rsidR="004A5290">
        <w:t>Submission i</w:t>
      </w:r>
      <w:r>
        <w:t xml:space="preserve">ssues </w:t>
      </w:r>
      <w:proofErr w:type="gramStart"/>
      <w:r>
        <w:t>register</w:t>
      </w:r>
      <w:bookmarkEnd w:id="58"/>
      <w:proofErr w:type="gramEnd"/>
      <w:r>
        <w:t xml:space="preserve"> </w:t>
      </w:r>
    </w:p>
    <w:p w14:paraId="528461EB" w14:textId="05890BD0" w:rsidR="00DF3B76" w:rsidRPr="00DF3B76" w:rsidRDefault="00DF3B76" w:rsidP="00DF3B76">
      <w:pPr>
        <w:rPr>
          <w:lang w:eastAsia="ja-JP"/>
        </w:rPr>
      </w:pPr>
      <w:r>
        <w:rPr>
          <w:lang w:eastAsia="ja-JP"/>
        </w:rPr>
        <w:t xml:space="preserve">Issues raised through the submission process and interviews with </w:t>
      </w:r>
      <w:proofErr w:type="gramStart"/>
      <w:r>
        <w:rPr>
          <w:lang w:eastAsia="ja-JP"/>
        </w:rPr>
        <w:t>stakeholders</w:t>
      </w:r>
      <w:proofErr w:type="gramEnd"/>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944"/>
        <w:gridCol w:w="2126"/>
      </w:tblGrid>
      <w:tr w:rsidR="00E60E92" w14:paraId="06690276" w14:textId="77777777" w:rsidTr="3CE7DD6E">
        <w:trPr>
          <w:cantSplit/>
          <w:tblHeader/>
        </w:trPr>
        <w:tc>
          <w:tcPr>
            <w:tcW w:w="3828" w:type="pct"/>
            <w:tcBorders>
              <w:top w:val="single" w:sz="4" w:space="0" w:color="auto"/>
              <w:left w:val="nil"/>
              <w:bottom w:val="single" w:sz="4" w:space="0" w:color="auto"/>
              <w:right w:val="nil"/>
            </w:tcBorders>
          </w:tcPr>
          <w:p w14:paraId="3CDD0142" w14:textId="5E6F2D86" w:rsidR="00E60E92" w:rsidRDefault="00E60E92" w:rsidP="00E60E92">
            <w:pPr>
              <w:pStyle w:val="TableHeading"/>
              <w:rPr>
                <w:lang w:eastAsia="ja-JP"/>
              </w:rPr>
            </w:pPr>
            <w:bookmarkStart w:id="59" w:name="Title_3"/>
            <w:bookmarkEnd w:id="59"/>
            <w:r>
              <w:rPr>
                <w:lang w:eastAsia="ja-JP"/>
              </w:rPr>
              <w:t>Issue</w:t>
            </w:r>
          </w:p>
        </w:tc>
        <w:tc>
          <w:tcPr>
            <w:tcW w:w="1172" w:type="pct"/>
            <w:tcBorders>
              <w:top w:val="single" w:sz="4" w:space="0" w:color="auto"/>
              <w:left w:val="nil"/>
              <w:bottom w:val="single" w:sz="4" w:space="0" w:color="auto"/>
            </w:tcBorders>
          </w:tcPr>
          <w:p w14:paraId="058625E9" w14:textId="3D92016D" w:rsidR="00E60E92" w:rsidRDefault="00ED68AC" w:rsidP="00E60E92">
            <w:pPr>
              <w:pStyle w:val="TableHeading"/>
              <w:rPr>
                <w:lang w:eastAsia="ja-JP"/>
              </w:rPr>
            </w:pPr>
            <w:r>
              <w:rPr>
                <w:lang w:eastAsia="ja-JP"/>
              </w:rPr>
              <w:t>Inspector-general</w:t>
            </w:r>
            <w:r w:rsidR="00BD180D">
              <w:rPr>
                <w:lang w:eastAsia="ja-JP"/>
              </w:rPr>
              <w:t xml:space="preserve"> </w:t>
            </w:r>
            <w:r>
              <w:rPr>
                <w:lang w:eastAsia="ja-JP"/>
              </w:rPr>
              <w:t>response in report</w:t>
            </w:r>
          </w:p>
        </w:tc>
      </w:tr>
      <w:tr w:rsidR="00E60E92" w14:paraId="4736CCF0" w14:textId="77777777" w:rsidTr="3CE7DD6E">
        <w:tc>
          <w:tcPr>
            <w:tcW w:w="3828" w:type="pct"/>
            <w:tcBorders>
              <w:top w:val="single" w:sz="4" w:space="0" w:color="auto"/>
              <w:bottom w:val="single" w:sz="4" w:space="0" w:color="auto"/>
              <w:right w:val="nil"/>
            </w:tcBorders>
          </w:tcPr>
          <w:p w14:paraId="05901FCB" w14:textId="60F98847" w:rsidR="00E60E92" w:rsidRDefault="00202C08" w:rsidP="00E60E92">
            <w:pPr>
              <w:pStyle w:val="TableText"/>
              <w:rPr>
                <w:lang w:eastAsia="ja-JP"/>
              </w:rPr>
            </w:pPr>
            <w:r>
              <w:rPr>
                <w:lang w:eastAsia="ja-JP"/>
              </w:rPr>
              <w:t>Department’s p</w:t>
            </w:r>
            <w:r w:rsidR="00DF3B76">
              <w:rPr>
                <w:lang w:eastAsia="ja-JP"/>
              </w:rPr>
              <w:t>erformance against</w:t>
            </w:r>
            <w:r w:rsidR="00C240A8">
              <w:rPr>
                <w:lang w:eastAsia="ja-JP"/>
              </w:rPr>
              <w:t xml:space="preserve"> s</w:t>
            </w:r>
            <w:r w:rsidR="00DF3B76">
              <w:rPr>
                <w:lang w:eastAsia="ja-JP"/>
              </w:rPr>
              <w:t>ervice standards</w:t>
            </w:r>
          </w:p>
        </w:tc>
        <w:tc>
          <w:tcPr>
            <w:tcW w:w="1172" w:type="pct"/>
            <w:tcBorders>
              <w:top w:val="single" w:sz="4" w:space="0" w:color="auto"/>
              <w:left w:val="nil"/>
              <w:bottom w:val="single" w:sz="4" w:space="0" w:color="auto"/>
              <w:right w:val="nil"/>
            </w:tcBorders>
          </w:tcPr>
          <w:p w14:paraId="052067B2" w14:textId="4918203D" w:rsidR="00E60E92" w:rsidRDefault="00ED68AC" w:rsidP="00E60E92">
            <w:pPr>
              <w:pStyle w:val="TableText"/>
              <w:rPr>
                <w:lang w:eastAsia="ja-JP"/>
              </w:rPr>
            </w:pPr>
            <w:r>
              <w:rPr>
                <w:lang w:eastAsia="ja-JP"/>
              </w:rPr>
              <w:t xml:space="preserve">Section </w:t>
            </w:r>
            <w:r w:rsidR="004A5290">
              <w:rPr>
                <w:lang w:eastAsia="ja-JP"/>
              </w:rPr>
              <w:t>1.</w:t>
            </w:r>
            <w:r w:rsidR="001A60F4">
              <w:rPr>
                <w:lang w:eastAsia="ja-JP"/>
              </w:rPr>
              <w:t>6</w:t>
            </w:r>
          </w:p>
        </w:tc>
      </w:tr>
      <w:tr w:rsidR="00A165A5" w14:paraId="3E34683B" w14:textId="77777777" w:rsidTr="3CE7DD6E">
        <w:tc>
          <w:tcPr>
            <w:tcW w:w="3828" w:type="pct"/>
            <w:tcBorders>
              <w:top w:val="single" w:sz="4" w:space="0" w:color="auto"/>
              <w:right w:val="nil"/>
            </w:tcBorders>
          </w:tcPr>
          <w:p w14:paraId="18D2F7C4" w14:textId="7A765C41" w:rsidR="00A165A5" w:rsidRDefault="00A165A5" w:rsidP="00E60E92">
            <w:pPr>
              <w:pStyle w:val="TableText"/>
              <w:rPr>
                <w:lang w:eastAsia="ja-JP"/>
              </w:rPr>
            </w:pPr>
            <w:r>
              <w:rPr>
                <w:lang w:eastAsia="ja-JP"/>
              </w:rPr>
              <w:t xml:space="preserve">Infrequent </w:t>
            </w:r>
            <w:r w:rsidR="003B6DDA">
              <w:rPr>
                <w:lang w:eastAsia="ja-JP"/>
              </w:rPr>
              <w:t xml:space="preserve">departmental </w:t>
            </w:r>
            <w:r>
              <w:rPr>
                <w:lang w:eastAsia="ja-JP"/>
              </w:rPr>
              <w:t>performance reports</w:t>
            </w:r>
          </w:p>
        </w:tc>
        <w:tc>
          <w:tcPr>
            <w:tcW w:w="1172" w:type="pct"/>
            <w:tcBorders>
              <w:top w:val="single" w:sz="4" w:space="0" w:color="auto"/>
              <w:left w:val="nil"/>
              <w:bottom w:val="single" w:sz="4" w:space="0" w:color="auto"/>
              <w:right w:val="nil"/>
            </w:tcBorders>
          </w:tcPr>
          <w:p w14:paraId="7077C7AF" w14:textId="0C827583" w:rsidR="00A165A5" w:rsidRDefault="00ED68AC" w:rsidP="00E60E92">
            <w:pPr>
              <w:pStyle w:val="TableText"/>
              <w:rPr>
                <w:lang w:eastAsia="ja-JP"/>
              </w:rPr>
            </w:pPr>
            <w:r>
              <w:rPr>
                <w:lang w:eastAsia="ja-JP"/>
              </w:rPr>
              <w:t xml:space="preserve">Section </w:t>
            </w:r>
            <w:r w:rsidR="009F5CD4">
              <w:rPr>
                <w:lang w:eastAsia="ja-JP"/>
              </w:rPr>
              <w:t>2.</w:t>
            </w:r>
            <w:r w:rsidR="00197076">
              <w:rPr>
                <w:lang w:eastAsia="ja-JP"/>
              </w:rPr>
              <w:t>7</w:t>
            </w:r>
          </w:p>
        </w:tc>
      </w:tr>
      <w:tr w:rsidR="007A040D" w14:paraId="005FD521" w14:textId="77777777" w:rsidTr="3CE7DD6E">
        <w:tc>
          <w:tcPr>
            <w:tcW w:w="3828" w:type="pct"/>
          </w:tcPr>
          <w:p w14:paraId="00B7337E" w14:textId="76516F87" w:rsidR="007A040D" w:rsidRDefault="007A040D" w:rsidP="00E60E92">
            <w:pPr>
              <w:pStyle w:val="TableText"/>
              <w:rPr>
                <w:lang w:eastAsia="ja-JP"/>
              </w:rPr>
            </w:pPr>
            <w:r>
              <w:rPr>
                <w:lang w:eastAsia="ja-JP"/>
              </w:rPr>
              <w:t>Timeliness of responses to enquires</w:t>
            </w:r>
          </w:p>
        </w:tc>
        <w:tc>
          <w:tcPr>
            <w:tcW w:w="1172" w:type="pct"/>
            <w:tcBorders>
              <w:top w:val="single" w:sz="4" w:space="0" w:color="auto"/>
            </w:tcBorders>
          </w:tcPr>
          <w:p w14:paraId="0F3F0998" w14:textId="26E89F0F" w:rsidR="007A040D" w:rsidRDefault="00ED68AC" w:rsidP="00E60E92">
            <w:pPr>
              <w:pStyle w:val="TableText"/>
              <w:rPr>
                <w:lang w:eastAsia="ja-JP"/>
              </w:rPr>
            </w:pPr>
            <w:r>
              <w:rPr>
                <w:lang w:eastAsia="ja-JP"/>
              </w:rPr>
              <w:t xml:space="preserve">Section </w:t>
            </w:r>
            <w:r w:rsidR="00456CC1">
              <w:rPr>
                <w:lang w:eastAsia="ja-JP"/>
              </w:rPr>
              <w:t>3.</w:t>
            </w:r>
            <w:r w:rsidR="001A60F4">
              <w:rPr>
                <w:lang w:eastAsia="ja-JP"/>
              </w:rPr>
              <w:t>4</w:t>
            </w:r>
          </w:p>
        </w:tc>
      </w:tr>
      <w:tr w:rsidR="00E60E92" w14:paraId="76C6D82B" w14:textId="77777777" w:rsidTr="3CE7DD6E">
        <w:tc>
          <w:tcPr>
            <w:tcW w:w="3828" w:type="pct"/>
          </w:tcPr>
          <w:p w14:paraId="1C60F2A6" w14:textId="013C749A" w:rsidR="00E60E92" w:rsidRDefault="00202C08" w:rsidP="00E60E92">
            <w:pPr>
              <w:pStyle w:val="TableText"/>
              <w:rPr>
                <w:lang w:eastAsia="ja-JP"/>
              </w:rPr>
            </w:pPr>
            <w:r>
              <w:rPr>
                <w:lang w:eastAsia="ja-JP"/>
              </w:rPr>
              <w:t>LAE phoneline issues</w:t>
            </w:r>
          </w:p>
        </w:tc>
        <w:tc>
          <w:tcPr>
            <w:tcW w:w="1172" w:type="pct"/>
          </w:tcPr>
          <w:p w14:paraId="4E498D84" w14:textId="2D6CA309" w:rsidR="00E60E92" w:rsidRDefault="00ED68AC" w:rsidP="00E60E92">
            <w:pPr>
              <w:pStyle w:val="TableText"/>
              <w:rPr>
                <w:lang w:eastAsia="ja-JP"/>
              </w:rPr>
            </w:pPr>
            <w:r>
              <w:rPr>
                <w:lang w:eastAsia="ja-JP"/>
              </w:rPr>
              <w:t xml:space="preserve">Section </w:t>
            </w:r>
            <w:r w:rsidR="00456CC1">
              <w:rPr>
                <w:lang w:eastAsia="ja-JP"/>
              </w:rPr>
              <w:t>3.</w:t>
            </w:r>
            <w:r w:rsidR="001A60F4">
              <w:rPr>
                <w:lang w:eastAsia="ja-JP"/>
              </w:rPr>
              <w:t>4</w:t>
            </w:r>
          </w:p>
        </w:tc>
      </w:tr>
      <w:tr w:rsidR="00E60E92" w14:paraId="68E30256" w14:textId="77777777" w:rsidTr="3CE7DD6E">
        <w:tc>
          <w:tcPr>
            <w:tcW w:w="3828" w:type="pct"/>
          </w:tcPr>
          <w:p w14:paraId="455FD3F2" w14:textId="51D0858F" w:rsidR="00E60E92" w:rsidRDefault="00202C08" w:rsidP="00E60E92">
            <w:pPr>
              <w:pStyle w:val="TableText"/>
              <w:rPr>
                <w:lang w:eastAsia="ja-JP"/>
              </w:rPr>
            </w:pPr>
            <w:r>
              <w:rPr>
                <w:lang w:eastAsia="ja-JP"/>
              </w:rPr>
              <w:t>Timeliness of website u</w:t>
            </w:r>
            <w:r w:rsidR="00DF3B76">
              <w:rPr>
                <w:lang w:eastAsia="ja-JP"/>
              </w:rPr>
              <w:t>pdat</w:t>
            </w:r>
            <w:r>
              <w:rPr>
                <w:lang w:eastAsia="ja-JP"/>
              </w:rPr>
              <w:t>es</w:t>
            </w:r>
          </w:p>
        </w:tc>
        <w:tc>
          <w:tcPr>
            <w:tcW w:w="1172" w:type="pct"/>
          </w:tcPr>
          <w:p w14:paraId="0852BB2A" w14:textId="46F1EF09" w:rsidR="00E60E92" w:rsidRDefault="00ED68AC" w:rsidP="00E60E92">
            <w:pPr>
              <w:pStyle w:val="TableText"/>
              <w:rPr>
                <w:lang w:eastAsia="ja-JP"/>
              </w:rPr>
            </w:pPr>
            <w:r>
              <w:rPr>
                <w:lang w:eastAsia="ja-JP"/>
              </w:rPr>
              <w:t xml:space="preserve">Section </w:t>
            </w:r>
            <w:r w:rsidR="00456CC1">
              <w:rPr>
                <w:lang w:eastAsia="ja-JP"/>
              </w:rPr>
              <w:t>1.</w:t>
            </w:r>
            <w:r w:rsidR="00652DB5">
              <w:rPr>
                <w:lang w:eastAsia="ja-JP"/>
              </w:rPr>
              <w:t>2</w:t>
            </w:r>
          </w:p>
        </w:tc>
      </w:tr>
      <w:tr w:rsidR="00E60E92" w14:paraId="7944E808" w14:textId="77777777" w:rsidTr="3CE7DD6E">
        <w:tc>
          <w:tcPr>
            <w:tcW w:w="3828" w:type="pct"/>
          </w:tcPr>
          <w:p w14:paraId="67DD9367" w14:textId="47A09C03" w:rsidR="00E60E92" w:rsidRDefault="006C5513" w:rsidP="00E60E92">
            <w:pPr>
              <w:pStyle w:val="TableText"/>
              <w:rPr>
                <w:lang w:eastAsia="ja-JP"/>
              </w:rPr>
            </w:pPr>
            <w:r>
              <w:rPr>
                <w:lang w:eastAsia="ja-JP"/>
              </w:rPr>
              <w:t xml:space="preserve">Timeliness of updates to </w:t>
            </w:r>
            <w:r w:rsidR="00DF3B76">
              <w:rPr>
                <w:lang w:eastAsia="ja-JP"/>
              </w:rPr>
              <w:t>guidance material</w:t>
            </w:r>
          </w:p>
        </w:tc>
        <w:tc>
          <w:tcPr>
            <w:tcW w:w="1172" w:type="pct"/>
          </w:tcPr>
          <w:p w14:paraId="3A6CC16B" w14:textId="256DB7AA" w:rsidR="00E60E92" w:rsidRDefault="00E12815" w:rsidP="00E60E92">
            <w:pPr>
              <w:pStyle w:val="TableText"/>
              <w:rPr>
                <w:lang w:eastAsia="ja-JP"/>
              </w:rPr>
            </w:pPr>
            <w:r>
              <w:rPr>
                <w:lang w:eastAsia="ja-JP"/>
              </w:rPr>
              <w:t>IGLAE 2022</w:t>
            </w:r>
            <w:r w:rsidR="00453206">
              <w:rPr>
                <w:lang w:eastAsia="ja-JP"/>
              </w:rPr>
              <w:t xml:space="preserve"> </w:t>
            </w:r>
          </w:p>
        </w:tc>
      </w:tr>
      <w:tr w:rsidR="00E60E92" w14:paraId="552129D2" w14:textId="77777777" w:rsidTr="3CE7DD6E">
        <w:tc>
          <w:tcPr>
            <w:tcW w:w="3828" w:type="pct"/>
          </w:tcPr>
          <w:p w14:paraId="638663A7" w14:textId="0D3A7772" w:rsidR="00E60E92" w:rsidRDefault="00DF3B76" w:rsidP="00E60E92">
            <w:pPr>
              <w:pStyle w:val="TableText"/>
              <w:rPr>
                <w:lang w:eastAsia="ja-JP"/>
              </w:rPr>
            </w:pPr>
            <w:r>
              <w:rPr>
                <w:lang w:eastAsia="ja-JP"/>
              </w:rPr>
              <w:t>Privacy</w:t>
            </w:r>
            <w:r w:rsidR="00722D38">
              <w:rPr>
                <w:lang w:eastAsia="ja-JP"/>
              </w:rPr>
              <w:t xml:space="preserve"> policy</w:t>
            </w:r>
          </w:p>
        </w:tc>
        <w:tc>
          <w:tcPr>
            <w:tcW w:w="1172" w:type="pct"/>
          </w:tcPr>
          <w:p w14:paraId="35A9FB79" w14:textId="327C9F97" w:rsidR="00E60E92" w:rsidRDefault="00ED68AC" w:rsidP="00E60E92">
            <w:pPr>
              <w:pStyle w:val="TableText"/>
              <w:rPr>
                <w:lang w:eastAsia="ja-JP"/>
              </w:rPr>
            </w:pPr>
            <w:r>
              <w:rPr>
                <w:lang w:eastAsia="ja-JP"/>
              </w:rPr>
              <w:t xml:space="preserve">Section </w:t>
            </w:r>
            <w:r w:rsidR="00117BEC">
              <w:rPr>
                <w:lang w:eastAsia="ja-JP"/>
              </w:rPr>
              <w:t>2.6</w:t>
            </w:r>
          </w:p>
        </w:tc>
      </w:tr>
      <w:tr w:rsidR="00E60E92" w14:paraId="14865EF4" w14:textId="77777777" w:rsidTr="3CE7DD6E">
        <w:tc>
          <w:tcPr>
            <w:tcW w:w="3828" w:type="pct"/>
          </w:tcPr>
          <w:p w14:paraId="744E4776" w14:textId="432E7E7B" w:rsidR="00E60E92" w:rsidRDefault="004B160D" w:rsidP="00E60E92">
            <w:pPr>
              <w:pStyle w:val="TableText"/>
              <w:rPr>
                <w:lang w:eastAsia="ja-JP"/>
              </w:rPr>
            </w:pPr>
            <w:r>
              <w:rPr>
                <w:lang w:eastAsia="ja-JP"/>
              </w:rPr>
              <w:t>Timeliness of i</w:t>
            </w:r>
            <w:r w:rsidR="00722D38">
              <w:rPr>
                <w:lang w:eastAsia="ja-JP"/>
              </w:rPr>
              <w:t>ndependent observer reports</w:t>
            </w:r>
            <w:r w:rsidR="00095B05">
              <w:rPr>
                <w:lang w:eastAsia="ja-JP"/>
              </w:rPr>
              <w:t xml:space="preserve"> being published</w:t>
            </w:r>
          </w:p>
        </w:tc>
        <w:tc>
          <w:tcPr>
            <w:tcW w:w="1172" w:type="pct"/>
          </w:tcPr>
          <w:p w14:paraId="7A186277" w14:textId="1E3B5EC7" w:rsidR="00E60E92" w:rsidRDefault="00ED68AC" w:rsidP="00E60E92">
            <w:pPr>
              <w:pStyle w:val="TableText"/>
              <w:rPr>
                <w:lang w:eastAsia="ja-JP"/>
              </w:rPr>
            </w:pPr>
            <w:r>
              <w:rPr>
                <w:lang w:eastAsia="ja-JP"/>
              </w:rPr>
              <w:t xml:space="preserve">Sections </w:t>
            </w:r>
            <w:r w:rsidR="009F5CD4">
              <w:rPr>
                <w:lang w:eastAsia="ja-JP"/>
              </w:rPr>
              <w:t>2.2</w:t>
            </w:r>
            <w:r w:rsidR="00307CB5">
              <w:rPr>
                <w:lang w:eastAsia="ja-JP"/>
              </w:rPr>
              <w:t>; 2.</w:t>
            </w:r>
            <w:r w:rsidR="001A60F4">
              <w:rPr>
                <w:lang w:eastAsia="ja-JP"/>
              </w:rPr>
              <w:t>7</w:t>
            </w:r>
          </w:p>
        </w:tc>
      </w:tr>
      <w:tr w:rsidR="000B01A6" w14:paraId="4AAFF527" w14:textId="77777777" w:rsidTr="3CE7DD6E">
        <w:tc>
          <w:tcPr>
            <w:tcW w:w="3828" w:type="pct"/>
          </w:tcPr>
          <w:p w14:paraId="455196D9" w14:textId="778DE97E" w:rsidR="000B01A6" w:rsidRDefault="00E95FDE" w:rsidP="00E60E92">
            <w:pPr>
              <w:pStyle w:val="TableText"/>
              <w:rPr>
                <w:lang w:eastAsia="ja-JP"/>
              </w:rPr>
            </w:pPr>
            <w:r>
              <w:rPr>
                <w:lang w:eastAsia="ja-JP"/>
              </w:rPr>
              <w:t>No forward w</w:t>
            </w:r>
            <w:r w:rsidR="00722D38">
              <w:rPr>
                <w:lang w:eastAsia="ja-JP"/>
              </w:rPr>
              <w:t xml:space="preserve">orkplan for </w:t>
            </w:r>
            <w:r>
              <w:rPr>
                <w:lang w:eastAsia="ja-JP"/>
              </w:rPr>
              <w:t xml:space="preserve">departmental </w:t>
            </w:r>
            <w:r w:rsidR="00722D38">
              <w:rPr>
                <w:lang w:eastAsia="ja-JP"/>
              </w:rPr>
              <w:t>reviews</w:t>
            </w:r>
          </w:p>
        </w:tc>
        <w:tc>
          <w:tcPr>
            <w:tcW w:w="1172" w:type="pct"/>
          </w:tcPr>
          <w:p w14:paraId="6614E55C" w14:textId="2100ECC7" w:rsidR="000B01A6" w:rsidRDefault="00ED68AC" w:rsidP="00E60E92">
            <w:pPr>
              <w:pStyle w:val="TableText"/>
              <w:rPr>
                <w:lang w:eastAsia="ja-JP"/>
              </w:rPr>
            </w:pPr>
            <w:r>
              <w:rPr>
                <w:lang w:eastAsia="ja-JP"/>
              </w:rPr>
              <w:t xml:space="preserve">Section </w:t>
            </w:r>
            <w:r w:rsidR="00456CC1">
              <w:rPr>
                <w:lang w:eastAsia="ja-JP"/>
              </w:rPr>
              <w:t>1.</w:t>
            </w:r>
            <w:r w:rsidR="001A60F4">
              <w:rPr>
                <w:lang w:eastAsia="ja-JP"/>
              </w:rPr>
              <w:t>6</w:t>
            </w:r>
          </w:p>
        </w:tc>
      </w:tr>
      <w:tr w:rsidR="00A43C22" w14:paraId="2AE5309D" w14:textId="77777777" w:rsidTr="3CE7DD6E">
        <w:tc>
          <w:tcPr>
            <w:tcW w:w="3828" w:type="pct"/>
          </w:tcPr>
          <w:p w14:paraId="1EE4E285" w14:textId="3B6E1C12" w:rsidR="00A43C22" w:rsidRDefault="00A43C22" w:rsidP="00E60E92">
            <w:pPr>
              <w:pStyle w:val="TableText"/>
              <w:rPr>
                <w:lang w:eastAsia="ja-JP"/>
              </w:rPr>
            </w:pPr>
            <w:r>
              <w:rPr>
                <w:lang w:eastAsia="ja-JP"/>
              </w:rPr>
              <w:t>Timeframes for submission processes</w:t>
            </w:r>
          </w:p>
        </w:tc>
        <w:tc>
          <w:tcPr>
            <w:tcW w:w="1172" w:type="pct"/>
          </w:tcPr>
          <w:p w14:paraId="4DD2CBE7" w14:textId="0D2E17B6" w:rsidR="00A43C22" w:rsidRDefault="00473CCB" w:rsidP="00E60E92">
            <w:pPr>
              <w:pStyle w:val="TableText"/>
              <w:rPr>
                <w:lang w:eastAsia="ja-JP"/>
              </w:rPr>
            </w:pPr>
            <w:r>
              <w:rPr>
                <w:lang w:eastAsia="ja-JP"/>
              </w:rPr>
              <w:t xml:space="preserve">Section </w:t>
            </w:r>
            <w:r w:rsidR="00456CC1">
              <w:rPr>
                <w:lang w:eastAsia="ja-JP"/>
              </w:rPr>
              <w:t>1.</w:t>
            </w:r>
            <w:r w:rsidR="001A60F4">
              <w:rPr>
                <w:lang w:eastAsia="ja-JP"/>
              </w:rPr>
              <w:t>6</w:t>
            </w:r>
          </w:p>
        </w:tc>
      </w:tr>
      <w:tr w:rsidR="000B01A6" w14:paraId="28DCFD90" w14:textId="77777777" w:rsidTr="3CE7DD6E">
        <w:tc>
          <w:tcPr>
            <w:tcW w:w="3828" w:type="pct"/>
          </w:tcPr>
          <w:p w14:paraId="0478DC9A" w14:textId="33AA1B38" w:rsidR="000B01A6" w:rsidRDefault="00440127" w:rsidP="00E60E92">
            <w:pPr>
              <w:pStyle w:val="TableText"/>
              <w:rPr>
                <w:lang w:eastAsia="ja-JP"/>
              </w:rPr>
            </w:pPr>
            <w:r>
              <w:rPr>
                <w:lang w:eastAsia="ja-JP"/>
              </w:rPr>
              <w:t>ESCAS non-compliance</w:t>
            </w:r>
            <w:r w:rsidR="004A5290">
              <w:rPr>
                <w:lang w:eastAsia="ja-JP"/>
              </w:rPr>
              <w:t xml:space="preserve"> reporting</w:t>
            </w:r>
          </w:p>
        </w:tc>
        <w:tc>
          <w:tcPr>
            <w:tcW w:w="1172" w:type="pct"/>
          </w:tcPr>
          <w:p w14:paraId="2BB3B96B" w14:textId="250D016C" w:rsidR="000B01A6" w:rsidRDefault="00473CCB" w:rsidP="00E60E92">
            <w:pPr>
              <w:pStyle w:val="TableText"/>
              <w:rPr>
                <w:lang w:eastAsia="ja-JP"/>
              </w:rPr>
            </w:pPr>
            <w:r>
              <w:rPr>
                <w:lang w:eastAsia="ja-JP"/>
              </w:rPr>
              <w:t xml:space="preserve">Section </w:t>
            </w:r>
            <w:r w:rsidR="00456CC1">
              <w:rPr>
                <w:lang w:eastAsia="ja-JP"/>
              </w:rPr>
              <w:t>2.</w:t>
            </w:r>
            <w:r w:rsidR="001A60F4">
              <w:rPr>
                <w:lang w:eastAsia="ja-JP"/>
              </w:rPr>
              <w:t>7</w:t>
            </w:r>
          </w:p>
        </w:tc>
      </w:tr>
      <w:tr w:rsidR="006E3DC7" w14:paraId="3679C509" w14:textId="77777777" w:rsidTr="3CE7DD6E">
        <w:tc>
          <w:tcPr>
            <w:tcW w:w="3828" w:type="pct"/>
          </w:tcPr>
          <w:p w14:paraId="3078C1BA" w14:textId="4915CA47" w:rsidR="006E3DC7" w:rsidRDefault="006E3DC7" w:rsidP="00E60E92">
            <w:pPr>
              <w:pStyle w:val="TableText"/>
              <w:rPr>
                <w:lang w:eastAsia="ja-JP"/>
              </w:rPr>
            </w:pPr>
            <w:r>
              <w:rPr>
                <w:lang w:eastAsia="ja-JP"/>
              </w:rPr>
              <w:t>ESCAS reports taking a long time to conclude and be published</w:t>
            </w:r>
          </w:p>
        </w:tc>
        <w:tc>
          <w:tcPr>
            <w:tcW w:w="1172" w:type="pct"/>
          </w:tcPr>
          <w:p w14:paraId="23ACC7CD" w14:textId="15EB3D2E" w:rsidR="006E3DC7" w:rsidRDefault="00473CCB" w:rsidP="00E60E92">
            <w:pPr>
              <w:pStyle w:val="TableText"/>
              <w:rPr>
                <w:lang w:eastAsia="ja-JP"/>
              </w:rPr>
            </w:pPr>
            <w:r>
              <w:rPr>
                <w:lang w:eastAsia="ja-JP"/>
              </w:rPr>
              <w:t xml:space="preserve">Section </w:t>
            </w:r>
            <w:r w:rsidR="00456CC1">
              <w:rPr>
                <w:lang w:eastAsia="ja-JP"/>
              </w:rPr>
              <w:t>2.</w:t>
            </w:r>
            <w:r w:rsidR="001A60F4">
              <w:rPr>
                <w:lang w:eastAsia="ja-JP"/>
              </w:rPr>
              <w:t>7</w:t>
            </w:r>
          </w:p>
        </w:tc>
      </w:tr>
      <w:tr w:rsidR="00A0219A" w14:paraId="03B84677" w14:textId="77777777" w:rsidTr="3CE7DD6E">
        <w:tc>
          <w:tcPr>
            <w:tcW w:w="3828" w:type="pct"/>
          </w:tcPr>
          <w:p w14:paraId="6A65FCC0" w14:textId="242EFF9E" w:rsidR="00A0219A" w:rsidRDefault="00A0219A" w:rsidP="00E60E92">
            <w:pPr>
              <w:pStyle w:val="TableText"/>
              <w:rPr>
                <w:lang w:eastAsia="ja-JP"/>
              </w:rPr>
            </w:pPr>
            <w:r>
              <w:rPr>
                <w:lang w:eastAsia="ja-JP"/>
              </w:rPr>
              <w:t>Regulatory culture in the department</w:t>
            </w:r>
          </w:p>
        </w:tc>
        <w:tc>
          <w:tcPr>
            <w:tcW w:w="1172" w:type="pct"/>
          </w:tcPr>
          <w:p w14:paraId="659E448A" w14:textId="2F4C93E3" w:rsidR="00A0219A" w:rsidRDefault="00473CCB" w:rsidP="00E60E92">
            <w:pPr>
              <w:pStyle w:val="TableText"/>
              <w:rPr>
                <w:lang w:eastAsia="ja-JP"/>
              </w:rPr>
            </w:pPr>
            <w:r>
              <w:rPr>
                <w:lang w:eastAsia="ja-JP"/>
              </w:rPr>
              <w:t xml:space="preserve">Sections </w:t>
            </w:r>
            <w:r w:rsidR="00453206">
              <w:rPr>
                <w:lang w:eastAsia="ja-JP"/>
              </w:rPr>
              <w:t>2.</w:t>
            </w:r>
            <w:r w:rsidR="001A60F4">
              <w:rPr>
                <w:lang w:eastAsia="ja-JP"/>
              </w:rPr>
              <w:t>7</w:t>
            </w:r>
            <w:r w:rsidR="00307CB5">
              <w:rPr>
                <w:lang w:eastAsia="ja-JP"/>
              </w:rPr>
              <w:t>;</w:t>
            </w:r>
            <w:r w:rsidR="00453206">
              <w:rPr>
                <w:lang w:eastAsia="ja-JP"/>
              </w:rPr>
              <w:t xml:space="preserve"> 3.</w:t>
            </w:r>
            <w:r w:rsidR="001A60F4">
              <w:rPr>
                <w:lang w:eastAsia="ja-JP"/>
              </w:rPr>
              <w:t>4</w:t>
            </w:r>
          </w:p>
        </w:tc>
      </w:tr>
      <w:tr w:rsidR="000B01A6" w14:paraId="53DC9536" w14:textId="77777777" w:rsidTr="3CE7DD6E">
        <w:tc>
          <w:tcPr>
            <w:tcW w:w="3828" w:type="pct"/>
          </w:tcPr>
          <w:p w14:paraId="6AC4D7F1" w14:textId="3F7A7D09" w:rsidR="000B01A6" w:rsidRDefault="00440127" w:rsidP="00E60E92">
            <w:pPr>
              <w:pStyle w:val="TableText"/>
              <w:rPr>
                <w:lang w:eastAsia="ja-JP"/>
              </w:rPr>
            </w:pPr>
            <w:r>
              <w:rPr>
                <w:lang w:eastAsia="ja-JP"/>
              </w:rPr>
              <w:t>Cost recovery invoice not itemised</w:t>
            </w:r>
          </w:p>
        </w:tc>
        <w:tc>
          <w:tcPr>
            <w:tcW w:w="1172" w:type="pct"/>
          </w:tcPr>
          <w:p w14:paraId="1C9D268C" w14:textId="76DE2EAD" w:rsidR="000B01A6" w:rsidRDefault="68E862D0" w:rsidP="00E60E92">
            <w:pPr>
              <w:pStyle w:val="TableText"/>
              <w:rPr>
                <w:lang w:eastAsia="ja-JP"/>
              </w:rPr>
            </w:pPr>
            <w:r w:rsidRPr="04852FD9">
              <w:rPr>
                <w:lang w:eastAsia="ja-JP"/>
              </w:rPr>
              <w:t>O</w:t>
            </w:r>
            <w:r w:rsidR="09DA8A1E" w:rsidRPr="04852FD9">
              <w:rPr>
                <w:lang w:eastAsia="ja-JP"/>
              </w:rPr>
              <w:t>ut of scope</w:t>
            </w:r>
          </w:p>
        </w:tc>
      </w:tr>
      <w:tr w:rsidR="000B01A6" w14:paraId="554A81D4" w14:textId="77777777" w:rsidTr="3CE7DD6E">
        <w:tc>
          <w:tcPr>
            <w:tcW w:w="3828" w:type="pct"/>
          </w:tcPr>
          <w:p w14:paraId="46928108" w14:textId="088EA7BB" w:rsidR="000B01A6" w:rsidRDefault="006A3BA8" w:rsidP="00E60E92">
            <w:pPr>
              <w:pStyle w:val="TableText"/>
              <w:rPr>
                <w:lang w:eastAsia="ja-JP"/>
              </w:rPr>
            </w:pPr>
            <w:r>
              <w:rPr>
                <w:lang w:eastAsia="ja-JP"/>
              </w:rPr>
              <w:t xml:space="preserve">FOI requests no longer published </w:t>
            </w:r>
          </w:p>
        </w:tc>
        <w:tc>
          <w:tcPr>
            <w:tcW w:w="1172" w:type="pct"/>
          </w:tcPr>
          <w:p w14:paraId="7D6CE2EC" w14:textId="5F248E47" w:rsidR="000B01A6" w:rsidRDefault="003C6BDB" w:rsidP="00E60E92">
            <w:pPr>
              <w:pStyle w:val="TableText"/>
              <w:rPr>
                <w:lang w:eastAsia="ja-JP"/>
              </w:rPr>
            </w:pPr>
            <w:r>
              <w:rPr>
                <w:lang w:eastAsia="ja-JP"/>
              </w:rPr>
              <w:t xml:space="preserve">Section </w:t>
            </w:r>
            <w:r w:rsidR="001A60F4">
              <w:rPr>
                <w:lang w:eastAsia="ja-JP"/>
              </w:rPr>
              <w:t>2.5</w:t>
            </w:r>
          </w:p>
        </w:tc>
      </w:tr>
      <w:tr w:rsidR="000B01A6" w14:paraId="6A6946DE" w14:textId="77777777" w:rsidTr="3CE7DD6E">
        <w:tc>
          <w:tcPr>
            <w:tcW w:w="3828" w:type="pct"/>
          </w:tcPr>
          <w:p w14:paraId="3B7E7084" w14:textId="46BC877B" w:rsidR="000B01A6" w:rsidRDefault="004E691C" w:rsidP="00E60E92">
            <w:pPr>
              <w:pStyle w:val="TableText"/>
              <w:rPr>
                <w:lang w:eastAsia="ja-JP"/>
              </w:rPr>
            </w:pPr>
            <w:r>
              <w:rPr>
                <w:lang w:eastAsia="ja-JP"/>
              </w:rPr>
              <w:t>How the department deals with non-compliance and enforceability with ESCAS</w:t>
            </w:r>
          </w:p>
        </w:tc>
        <w:tc>
          <w:tcPr>
            <w:tcW w:w="1172" w:type="pct"/>
          </w:tcPr>
          <w:p w14:paraId="7CAF414E" w14:textId="11E60D9C" w:rsidR="000B01A6" w:rsidRDefault="003C6BDB" w:rsidP="00E60E92">
            <w:pPr>
              <w:pStyle w:val="TableText"/>
              <w:rPr>
                <w:lang w:eastAsia="ja-JP"/>
              </w:rPr>
            </w:pPr>
            <w:r>
              <w:rPr>
                <w:lang w:eastAsia="ja-JP"/>
              </w:rPr>
              <w:t xml:space="preserve">Sections </w:t>
            </w:r>
            <w:r w:rsidR="00456CC1">
              <w:rPr>
                <w:lang w:eastAsia="ja-JP"/>
              </w:rPr>
              <w:t>2.</w:t>
            </w:r>
            <w:r w:rsidR="001A60F4">
              <w:rPr>
                <w:lang w:eastAsia="ja-JP"/>
              </w:rPr>
              <w:t>7</w:t>
            </w:r>
            <w:r w:rsidR="008A4D73">
              <w:rPr>
                <w:lang w:eastAsia="ja-JP"/>
              </w:rPr>
              <w:t>; 3.</w:t>
            </w:r>
            <w:r w:rsidR="00117BEC">
              <w:rPr>
                <w:lang w:eastAsia="ja-JP"/>
              </w:rPr>
              <w:t>4</w:t>
            </w:r>
          </w:p>
        </w:tc>
      </w:tr>
      <w:tr w:rsidR="000B01A6" w14:paraId="75067A25" w14:textId="77777777" w:rsidTr="3CE7DD6E">
        <w:tc>
          <w:tcPr>
            <w:tcW w:w="3828" w:type="pct"/>
          </w:tcPr>
          <w:p w14:paraId="5BF139C0" w14:textId="3F859A98" w:rsidR="000B01A6" w:rsidRDefault="004E691C" w:rsidP="00E60E92">
            <w:pPr>
              <w:pStyle w:val="TableText"/>
              <w:rPr>
                <w:lang w:eastAsia="ja-JP"/>
              </w:rPr>
            </w:pPr>
            <w:r>
              <w:rPr>
                <w:lang w:eastAsia="ja-JP"/>
              </w:rPr>
              <w:t>Departmental staff not having animal welfare qualifications</w:t>
            </w:r>
          </w:p>
        </w:tc>
        <w:tc>
          <w:tcPr>
            <w:tcW w:w="1172" w:type="pct"/>
          </w:tcPr>
          <w:p w14:paraId="5041527E" w14:textId="52BA31E8" w:rsidR="000B01A6" w:rsidRDefault="00453206" w:rsidP="00E60E92">
            <w:pPr>
              <w:pStyle w:val="TableText"/>
              <w:rPr>
                <w:lang w:eastAsia="ja-JP"/>
              </w:rPr>
            </w:pPr>
            <w:r>
              <w:rPr>
                <w:lang w:eastAsia="ja-JP"/>
              </w:rPr>
              <w:t>Out of scope</w:t>
            </w:r>
          </w:p>
        </w:tc>
      </w:tr>
      <w:tr w:rsidR="00E60E92" w14:paraId="690A9E0D" w14:textId="77777777" w:rsidTr="3CE7DD6E">
        <w:tc>
          <w:tcPr>
            <w:tcW w:w="3828" w:type="pct"/>
          </w:tcPr>
          <w:p w14:paraId="01F56387" w14:textId="0C72E70B" w:rsidR="00E60E92" w:rsidRDefault="00456CC1" w:rsidP="00E60E92">
            <w:pPr>
              <w:pStyle w:val="TableText"/>
              <w:rPr>
                <w:lang w:eastAsia="ja-JP"/>
              </w:rPr>
            </w:pPr>
            <w:r>
              <w:rPr>
                <w:lang w:eastAsia="ja-JP"/>
              </w:rPr>
              <w:t>Application forms frustrating to use because the fillable PDFs malfunction</w:t>
            </w:r>
          </w:p>
        </w:tc>
        <w:tc>
          <w:tcPr>
            <w:tcW w:w="1172" w:type="pct"/>
          </w:tcPr>
          <w:p w14:paraId="3DF7DDF4" w14:textId="5BADB5D2" w:rsidR="00E60E92" w:rsidRDefault="00453206" w:rsidP="00E60E92">
            <w:pPr>
              <w:pStyle w:val="TableText"/>
              <w:rPr>
                <w:lang w:eastAsia="ja-JP"/>
              </w:rPr>
            </w:pPr>
            <w:r>
              <w:rPr>
                <w:lang w:eastAsia="ja-JP"/>
              </w:rPr>
              <w:t>Out of scope (earlier reviews)</w:t>
            </w:r>
          </w:p>
        </w:tc>
      </w:tr>
      <w:tr w:rsidR="004E691C" w14:paraId="15D596B0" w14:textId="77777777" w:rsidTr="3CE7DD6E">
        <w:tc>
          <w:tcPr>
            <w:tcW w:w="3828" w:type="pct"/>
          </w:tcPr>
          <w:p w14:paraId="310E0281" w14:textId="13FAE2BB" w:rsidR="004E691C" w:rsidRDefault="00BB7D07" w:rsidP="00E60E92">
            <w:pPr>
              <w:pStyle w:val="TableText"/>
              <w:rPr>
                <w:lang w:eastAsia="ja-JP"/>
              </w:rPr>
            </w:pPr>
            <w:r>
              <w:rPr>
                <w:lang w:eastAsia="ja-JP"/>
              </w:rPr>
              <w:t>Length of time it takes for the department to respond to some email enquiries</w:t>
            </w:r>
          </w:p>
        </w:tc>
        <w:tc>
          <w:tcPr>
            <w:tcW w:w="1172" w:type="pct"/>
          </w:tcPr>
          <w:p w14:paraId="0182E69C" w14:textId="5B7205DF" w:rsidR="004E691C" w:rsidRDefault="00473CCB" w:rsidP="00E60E92">
            <w:pPr>
              <w:pStyle w:val="TableText"/>
              <w:rPr>
                <w:lang w:eastAsia="ja-JP"/>
              </w:rPr>
            </w:pPr>
            <w:r>
              <w:rPr>
                <w:lang w:eastAsia="ja-JP"/>
              </w:rPr>
              <w:t xml:space="preserve">Section </w:t>
            </w:r>
            <w:r w:rsidR="00453206">
              <w:rPr>
                <w:lang w:eastAsia="ja-JP"/>
              </w:rPr>
              <w:t>3.</w:t>
            </w:r>
            <w:r w:rsidR="00117BEC">
              <w:rPr>
                <w:lang w:eastAsia="ja-JP"/>
              </w:rPr>
              <w:t>4</w:t>
            </w:r>
          </w:p>
        </w:tc>
      </w:tr>
      <w:tr w:rsidR="004E691C" w14:paraId="7499BF8B" w14:textId="77777777" w:rsidTr="3CE7DD6E">
        <w:tc>
          <w:tcPr>
            <w:tcW w:w="3828" w:type="pct"/>
          </w:tcPr>
          <w:p w14:paraId="29FFB167" w14:textId="09C1F214" w:rsidR="004E691C" w:rsidRDefault="0701629B" w:rsidP="00E60E92">
            <w:pPr>
              <w:pStyle w:val="TableText"/>
              <w:rPr>
                <w:lang w:eastAsia="ja-JP"/>
              </w:rPr>
            </w:pPr>
            <w:r w:rsidRPr="3CE7DD6E">
              <w:rPr>
                <w:lang w:eastAsia="ja-JP"/>
              </w:rPr>
              <w:t>The department</w:t>
            </w:r>
            <w:r w:rsidR="50976D2C" w:rsidRPr="3CE7DD6E">
              <w:rPr>
                <w:lang w:eastAsia="ja-JP"/>
              </w:rPr>
              <w:t>’s response to</w:t>
            </w:r>
            <w:r w:rsidRPr="3CE7DD6E">
              <w:rPr>
                <w:lang w:eastAsia="ja-JP"/>
              </w:rPr>
              <w:t xml:space="preserve"> non-compliance</w:t>
            </w:r>
          </w:p>
        </w:tc>
        <w:tc>
          <w:tcPr>
            <w:tcW w:w="1172" w:type="pct"/>
          </w:tcPr>
          <w:p w14:paraId="51458F5D" w14:textId="4473E98B" w:rsidR="004E691C" w:rsidRDefault="00473CCB" w:rsidP="00E60E92">
            <w:pPr>
              <w:pStyle w:val="TableText"/>
              <w:rPr>
                <w:lang w:eastAsia="ja-JP"/>
              </w:rPr>
            </w:pPr>
            <w:r>
              <w:rPr>
                <w:lang w:eastAsia="ja-JP"/>
              </w:rPr>
              <w:t xml:space="preserve">Section </w:t>
            </w:r>
            <w:r w:rsidR="00456CC1">
              <w:rPr>
                <w:lang w:eastAsia="ja-JP"/>
              </w:rPr>
              <w:t>2.</w:t>
            </w:r>
            <w:r w:rsidR="001A60F4">
              <w:rPr>
                <w:lang w:eastAsia="ja-JP"/>
              </w:rPr>
              <w:t>7</w:t>
            </w:r>
          </w:p>
        </w:tc>
      </w:tr>
      <w:tr w:rsidR="004E691C" w14:paraId="10129E10" w14:textId="77777777" w:rsidTr="3CE7DD6E">
        <w:tc>
          <w:tcPr>
            <w:tcW w:w="3828" w:type="pct"/>
          </w:tcPr>
          <w:p w14:paraId="3FF2A5EB" w14:textId="6E96648B" w:rsidR="004E691C" w:rsidRDefault="00A97379" w:rsidP="00E60E92">
            <w:pPr>
              <w:pStyle w:val="TableText"/>
              <w:rPr>
                <w:lang w:eastAsia="ja-JP"/>
              </w:rPr>
            </w:pPr>
            <w:r>
              <w:rPr>
                <w:lang w:eastAsia="ja-JP"/>
              </w:rPr>
              <w:t>Information about non-compliances being handed to exporter</w:t>
            </w:r>
          </w:p>
        </w:tc>
        <w:tc>
          <w:tcPr>
            <w:tcW w:w="1172" w:type="pct"/>
          </w:tcPr>
          <w:p w14:paraId="5AD3F2B3" w14:textId="29AB2D0B" w:rsidR="004E691C" w:rsidRDefault="00473CCB" w:rsidP="00E60E92">
            <w:pPr>
              <w:pStyle w:val="TableText"/>
              <w:rPr>
                <w:lang w:eastAsia="ja-JP"/>
              </w:rPr>
            </w:pPr>
            <w:r>
              <w:rPr>
                <w:lang w:eastAsia="ja-JP"/>
              </w:rPr>
              <w:t xml:space="preserve">Section </w:t>
            </w:r>
            <w:r w:rsidR="00456CC1">
              <w:rPr>
                <w:lang w:eastAsia="ja-JP"/>
              </w:rPr>
              <w:t>2.</w:t>
            </w:r>
            <w:r w:rsidR="001A60F4">
              <w:rPr>
                <w:lang w:eastAsia="ja-JP"/>
              </w:rPr>
              <w:t>7</w:t>
            </w:r>
          </w:p>
        </w:tc>
      </w:tr>
      <w:tr w:rsidR="004E691C" w14:paraId="15D25C86" w14:textId="77777777" w:rsidTr="3CE7DD6E">
        <w:tc>
          <w:tcPr>
            <w:tcW w:w="3828" w:type="pct"/>
          </w:tcPr>
          <w:p w14:paraId="1B08832D" w14:textId="7890C4B7" w:rsidR="004E691C" w:rsidRDefault="001D6B14" w:rsidP="00E60E92">
            <w:pPr>
              <w:pStyle w:val="TableText"/>
              <w:rPr>
                <w:lang w:eastAsia="ja-JP"/>
              </w:rPr>
            </w:pPr>
            <w:r>
              <w:rPr>
                <w:lang w:eastAsia="ja-JP"/>
              </w:rPr>
              <w:t>Transparency of animal welfare issues and incidents</w:t>
            </w:r>
          </w:p>
        </w:tc>
        <w:tc>
          <w:tcPr>
            <w:tcW w:w="1172" w:type="pct"/>
          </w:tcPr>
          <w:p w14:paraId="309D18EF" w14:textId="7C7F0F2C" w:rsidR="004E691C" w:rsidRDefault="00473CCB" w:rsidP="00E60E92">
            <w:pPr>
              <w:pStyle w:val="TableText"/>
              <w:rPr>
                <w:lang w:eastAsia="ja-JP"/>
              </w:rPr>
            </w:pPr>
            <w:r>
              <w:rPr>
                <w:lang w:eastAsia="ja-JP"/>
              </w:rPr>
              <w:t xml:space="preserve">Section </w:t>
            </w:r>
            <w:r w:rsidR="00456CC1">
              <w:rPr>
                <w:lang w:eastAsia="ja-JP"/>
              </w:rPr>
              <w:t>2.</w:t>
            </w:r>
            <w:r w:rsidR="001A60F4">
              <w:rPr>
                <w:lang w:eastAsia="ja-JP"/>
              </w:rPr>
              <w:t>7</w:t>
            </w:r>
          </w:p>
        </w:tc>
      </w:tr>
      <w:tr w:rsidR="004E691C" w14:paraId="1A7CBA01" w14:textId="77777777" w:rsidTr="3CE7DD6E">
        <w:tc>
          <w:tcPr>
            <w:tcW w:w="3828" w:type="pct"/>
          </w:tcPr>
          <w:p w14:paraId="7F3A581C" w14:textId="0243BA2A" w:rsidR="004E691C" w:rsidRDefault="001D6B14" w:rsidP="00E60E92">
            <w:pPr>
              <w:pStyle w:val="TableText"/>
              <w:rPr>
                <w:lang w:eastAsia="ja-JP"/>
              </w:rPr>
            </w:pPr>
            <w:r>
              <w:rPr>
                <w:lang w:eastAsia="ja-JP"/>
              </w:rPr>
              <w:t>Engagement with animal welfare organisations</w:t>
            </w:r>
          </w:p>
        </w:tc>
        <w:tc>
          <w:tcPr>
            <w:tcW w:w="1172" w:type="pct"/>
          </w:tcPr>
          <w:p w14:paraId="7C5315EA" w14:textId="68B3518A" w:rsidR="004E691C" w:rsidRDefault="00473CCB" w:rsidP="00E60E92">
            <w:pPr>
              <w:pStyle w:val="TableText"/>
              <w:rPr>
                <w:lang w:eastAsia="ja-JP"/>
              </w:rPr>
            </w:pPr>
            <w:r>
              <w:rPr>
                <w:lang w:eastAsia="ja-JP"/>
              </w:rPr>
              <w:t xml:space="preserve">Section </w:t>
            </w:r>
            <w:r w:rsidR="00456CC1">
              <w:rPr>
                <w:lang w:eastAsia="ja-JP"/>
              </w:rPr>
              <w:t>1.</w:t>
            </w:r>
            <w:r w:rsidR="001A60F4">
              <w:rPr>
                <w:lang w:eastAsia="ja-JP"/>
              </w:rPr>
              <w:t>6</w:t>
            </w:r>
          </w:p>
        </w:tc>
      </w:tr>
      <w:tr w:rsidR="00400538" w14:paraId="3BD8B0F2" w14:textId="77777777" w:rsidTr="3CE7DD6E">
        <w:tc>
          <w:tcPr>
            <w:tcW w:w="3828" w:type="pct"/>
          </w:tcPr>
          <w:p w14:paraId="6F18B405" w14:textId="0BB70459" w:rsidR="00400538" w:rsidRDefault="00074E59" w:rsidP="00E60E92">
            <w:pPr>
              <w:pStyle w:val="TableText"/>
              <w:rPr>
                <w:lang w:eastAsia="ja-JP"/>
              </w:rPr>
            </w:pPr>
            <w:r>
              <w:rPr>
                <w:lang w:eastAsia="ja-JP"/>
              </w:rPr>
              <w:t>Recognition of veterinarian bodies and animal welfare bodies in non-routine regulatory matters</w:t>
            </w:r>
          </w:p>
        </w:tc>
        <w:tc>
          <w:tcPr>
            <w:tcW w:w="1172" w:type="pct"/>
          </w:tcPr>
          <w:p w14:paraId="21BF1D6D" w14:textId="6A3CAE19" w:rsidR="00400538" w:rsidRDefault="00473CCB" w:rsidP="00E60E92">
            <w:pPr>
              <w:pStyle w:val="TableText"/>
              <w:rPr>
                <w:lang w:eastAsia="ja-JP"/>
              </w:rPr>
            </w:pPr>
            <w:r>
              <w:rPr>
                <w:lang w:eastAsia="ja-JP"/>
              </w:rPr>
              <w:t xml:space="preserve">Section </w:t>
            </w:r>
            <w:r w:rsidR="00456CC1">
              <w:rPr>
                <w:lang w:eastAsia="ja-JP"/>
              </w:rPr>
              <w:t>1.</w:t>
            </w:r>
            <w:r w:rsidR="001A60F4">
              <w:rPr>
                <w:lang w:eastAsia="ja-JP"/>
              </w:rPr>
              <w:t>6</w:t>
            </w:r>
          </w:p>
        </w:tc>
      </w:tr>
      <w:tr w:rsidR="00400538" w14:paraId="5132F6EC" w14:textId="77777777" w:rsidTr="3CE7DD6E">
        <w:tc>
          <w:tcPr>
            <w:tcW w:w="3828" w:type="pct"/>
          </w:tcPr>
          <w:p w14:paraId="3C45A828" w14:textId="4A85C007" w:rsidR="00400538" w:rsidRDefault="005F2A76" w:rsidP="00E60E92">
            <w:pPr>
              <w:pStyle w:val="TableText"/>
              <w:rPr>
                <w:lang w:eastAsia="ja-JP"/>
              </w:rPr>
            </w:pPr>
            <w:r>
              <w:rPr>
                <w:lang w:eastAsia="ja-JP"/>
              </w:rPr>
              <w:t>Animal welfare and community groups as stakeholders in relation to policy guidelines and procedures development</w:t>
            </w:r>
          </w:p>
        </w:tc>
        <w:tc>
          <w:tcPr>
            <w:tcW w:w="1172" w:type="pct"/>
          </w:tcPr>
          <w:p w14:paraId="5750C8C4" w14:textId="55912502" w:rsidR="00400538" w:rsidRDefault="00473CCB" w:rsidP="00E60E92">
            <w:pPr>
              <w:pStyle w:val="TableText"/>
              <w:rPr>
                <w:lang w:eastAsia="ja-JP"/>
              </w:rPr>
            </w:pPr>
            <w:r>
              <w:rPr>
                <w:lang w:eastAsia="ja-JP"/>
              </w:rPr>
              <w:t xml:space="preserve">Section </w:t>
            </w:r>
            <w:r w:rsidR="00453206">
              <w:rPr>
                <w:lang w:eastAsia="ja-JP"/>
              </w:rPr>
              <w:t>1.</w:t>
            </w:r>
            <w:r w:rsidR="001A60F4">
              <w:rPr>
                <w:lang w:eastAsia="ja-JP"/>
              </w:rPr>
              <w:t>6</w:t>
            </w:r>
          </w:p>
        </w:tc>
      </w:tr>
      <w:tr w:rsidR="00074E59" w14:paraId="23064A8B" w14:textId="77777777" w:rsidTr="3CE7DD6E">
        <w:tc>
          <w:tcPr>
            <w:tcW w:w="3828" w:type="pct"/>
          </w:tcPr>
          <w:p w14:paraId="7D1E810C" w14:textId="44D6FA76" w:rsidR="00074E59" w:rsidRDefault="00641CDC" w:rsidP="00E60E92">
            <w:pPr>
              <w:pStyle w:val="TableText"/>
              <w:rPr>
                <w:lang w:eastAsia="ja-JP"/>
              </w:rPr>
            </w:pPr>
            <w:r>
              <w:rPr>
                <w:lang w:eastAsia="ja-JP"/>
              </w:rPr>
              <w:t>Transparency on breaches to animal welfare regulations</w:t>
            </w:r>
          </w:p>
        </w:tc>
        <w:tc>
          <w:tcPr>
            <w:tcW w:w="1172" w:type="pct"/>
          </w:tcPr>
          <w:p w14:paraId="1649A9DD" w14:textId="7BEAD9C7" w:rsidR="00074E59" w:rsidRDefault="00473CCB" w:rsidP="00E60E92">
            <w:pPr>
              <w:pStyle w:val="TableText"/>
              <w:rPr>
                <w:lang w:eastAsia="ja-JP"/>
              </w:rPr>
            </w:pPr>
            <w:r>
              <w:rPr>
                <w:lang w:eastAsia="ja-JP"/>
              </w:rPr>
              <w:t xml:space="preserve">Sections </w:t>
            </w:r>
            <w:r w:rsidR="00456CC1">
              <w:rPr>
                <w:lang w:eastAsia="ja-JP"/>
              </w:rPr>
              <w:t>2.</w:t>
            </w:r>
            <w:r w:rsidR="001A60F4">
              <w:rPr>
                <w:lang w:eastAsia="ja-JP"/>
              </w:rPr>
              <w:t>7</w:t>
            </w:r>
            <w:r w:rsidR="00A93146">
              <w:rPr>
                <w:lang w:eastAsia="ja-JP"/>
              </w:rPr>
              <w:t>; 3.</w:t>
            </w:r>
            <w:r w:rsidR="001A60F4">
              <w:rPr>
                <w:lang w:eastAsia="ja-JP"/>
              </w:rPr>
              <w:t>4</w:t>
            </w:r>
          </w:p>
        </w:tc>
      </w:tr>
      <w:tr w:rsidR="00074E59" w14:paraId="512C52E3" w14:textId="77777777" w:rsidTr="3CE7DD6E">
        <w:tc>
          <w:tcPr>
            <w:tcW w:w="3828" w:type="pct"/>
          </w:tcPr>
          <w:p w14:paraId="38705594" w14:textId="3DDDA5FC" w:rsidR="00074E59" w:rsidRDefault="00641CDC" w:rsidP="00E60E92">
            <w:pPr>
              <w:pStyle w:val="TableText"/>
              <w:rPr>
                <w:lang w:eastAsia="ja-JP"/>
              </w:rPr>
            </w:pPr>
            <w:r>
              <w:rPr>
                <w:lang w:eastAsia="ja-JP"/>
              </w:rPr>
              <w:t xml:space="preserve">Transparency on how regulatory breaches </w:t>
            </w:r>
            <w:proofErr w:type="gramStart"/>
            <w:r>
              <w:rPr>
                <w:lang w:eastAsia="ja-JP"/>
              </w:rPr>
              <w:t>are</w:t>
            </w:r>
            <w:proofErr w:type="gramEnd"/>
            <w:r>
              <w:rPr>
                <w:lang w:eastAsia="ja-JP"/>
              </w:rPr>
              <w:t xml:space="preserve"> evaluated and enforced</w:t>
            </w:r>
          </w:p>
        </w:tc>
        <w:tc>
          <w:tcPr>
            <w:tcW w:w="1172" w:type="pct"/>
          </w:tcPr>
          <w:p w14:paraId="488FD6B2" w14:textId="06FC270B" w:rsidR="00074E59" w:rsidRDefault="00473CCB" w:rsidP="00E60E92">
            <w:pPr>
              <w:pStyle w:val="TableText"/>
              <w:rPr>
                <w:lang w:eastAsia="ja-JP"/>
              </w:rPr>
            </w:pPr>
            <w:r>
              <w:rPr>
                <w:lang w:eastAsia="ja-JP"/>
              </w:rPr>
              <w:t xml:space="preserve">Sections </w:t>
            </w:r>
            <w:r w:rsidR="00456CC1">
              <w:rPr>
                <w:lang w:eastAsia="ja-JP"/>
              </w:rPr>
              <w:t>2.</w:t>
            </w:r>
            <w:r w:rsidR="001A60F4">
              <w:rPr>
                <w:lang w:eastAsia="ja-JP"/>
              </w:rPr>
              <w:t>7</w:t>
            </w:r>
            <w:r w:rsidR="00A93146">
              <w:rPr>
                <w:lang w:eastAsia="ja-JP"/>
              </w:rPr>
              <w:t>; 3.</w:t>
            </w:r>
            <w:r w:rsidR="001A60F4">
              <w:rPr>
                <w:lang w:eastAsia="ja-JP"/>
              </w:rPr>
              <w:t>4</w:t>
            </w:r>
          </w:p>
        </w:tc>
      </w:tr>
      <w:tr w:rsidR="00074E59" w14:paraId="69A8A817" w14:textId="77777777" w:rsidTr="3CE7DD6E">
        <w:tc>
          <w:tcPr>
            <w:tcW w:w="3828" w:type="pct"/>
          </w:tcPr>
          <w:p w14:paraId="1A501A6B" w14:textId="2E39FE29" w:rsidR="00074E59" w:rsidRDefault="00405B32" w:rsidP="00E60E92">
            <w:pPr>
              <w:pStyle w:val="TableText"/>
              <w:rPr>
                <w:lang w:eastAsia="ja-JP"/>
              </w:rPr>
            </w:pPr>
            <w:r>
              <w:rPr>
                <w:lang w:eastAsia="ja-JP"/>
              </w:rPr>
              <w:t>Transparency on live animal export data</w:t>
            </w:r>
          </w:p>
        </w:tc>
        <w:tc>
          <w:tcPr>
            <w:tcW w:w="1172" w:type="pct"/>
          </w:tcPr>
          <w:p w14:paraId="0E122881" w14:textId="046B2A33" w:rsidR="00074E59" w:rsidRDefault="00473CCB" w:rsidP="00E60E92">
            <w:pPr>
              <w:pStyle w:val="TableText"/>
              <w:rPr>
                <w:lang w:eastAsia="ja-JP"/>
              </w:rPr>
            </w:pPr>
            <w:r>
              <w:rPr>
                <w:lang w:eastAsia="ja-JP"/>
              </w:rPr>
              <w:t xml:space="preserve">Section </w:t>
            </w:r>
            <w:r w:rsidR="00456CC1">
              <w:rPr>
                <w:lang w:eastAsia="ja-JP"/>
              </w:rPr>
              <w:t>2.</w:t>
            </w:r>
            <w:r w:rsidR="001A60F4">
              <w:rPr>
                <w:lang w:eastAsia="ja-JP"/>
              </w:rPr>
              <w:t>7</w:t>
            </w:r>
          </w:p>
        </w:tc>
      </w:tr>
      <w:tr w:rsidR="00074E59" w14:paraId="347E1F82" w14:textId="77777777" w:rsidTr="3CE7DD6E">
        <w:tc>
          <w:tcPr>
            <w:tcW w:w="3828" w:type="pct"/>
          </w:tcPr>
          <w:p w14:paraId="2B4843F7" w14:textId="69A43086" w:rsidR="00074E59" w:rsidRDefault="00D44712" w:rsidP="00E60E92">
            <w:pPr>
              <w:pStyle w:val="TableText"/>
              <w:rPr>
                <w:lang w:eastAsia="ja-JP"/>
              </w:rPr>
            </w:pPr>
            <w:r>
              <w:rPr>
                <w:lang w:eastAsia="ja-JP"/>
              </w:rPr>
              <w:t>Inadequate r</w:t>
            </w:r>
            <w:r w:rsidR="00317764">
              <w:rPr>
                <w:lang w:eastAsia="ja-JP"/>
              </w:rPr>
              <w:t xml:space="preserve">esponses to </w:t>
            </w:r>
            <w:r>
              <w:rPr>
                <w:lang w:eastAsia="ja-JP"/>
              </w:rPr>
              <w:t xml:space="preserve">third party stakeholders in relation to </w:t>
            </w:r>
            <w:r w:rsidR="00373C78">
              <w:rPr>
                <w:lang w:eastAsia="ja-JP"/>
              </w:rPr>
              <w:t>e</w:t>
            </w:r>
            <w:r w:rsidR="00317764">
              <w:rPr>
                <w:lang w:eastAsia="ja-JP"/>
              </w:rPr>
              <w:t xml:space="preserve">nquiries, reports, </w:t>
            </w:r>
            <w:proofErr w:type="gramStart"/>
            <w:r w:rsidR="00317764">
              <w:rPr>
                <w:lang w:eastAsia="ja-JP"/>
              </w:rPr>
              <w:t>complaints</w:t>
            </w:r>
            <w:proofErr w:type="gramEnd"/>
            <w:r w:rsidR="00317764">
              <w:rPr>
                <w:lang w:eastAsia="ja-JP"/>
              </w:rPr>
              <w:t xml:space="preserve"> and allegations of non-compliance</w:t>
            </w:r>
          </w:p>
        </w:tc>
        <w:tc>
          <w:tcPr>
            <w:tcW w:w="1172" w:type="pct"/>
          </w:tcPr>
          <w:p w14:paraId="0E642F7A" w14:textId="47C7FF20" w:rsidR="00074E59" w:rsidRDefault="00473CCB" w:rsidP="00E60E92">
            <w:pPr>
              <w:pStyle w:val="TableText"/>
              <w:rPr>
                <w:lang w:eastAsia="ja-JP"/>
              </w:rPr>
            </w:pPr>
            <w:r>
              <w:rPr>
                <w:lang w:eastAsia="ja-JP"/>
              </w:rPr>
              <w:t xml:space="preserve">Sections </w:t>
            </w:r>
            <w:r w:rsidR="00453206">
              <w:rPr>
                <w:lang w:eastAsia="ja-JP"/>
              </w:rPr>
              <w:t>2.</w:t>
            </w:r>
            <w:r w:rsidR="001A60F4">
              <w:rPr>
                <w:lang w:eastAsia="ja-JP"/>
              </w:rPr>
              <w:t>7</w:t>
            </w:r>
            <w:r>
              <w:rPr>
                <w:lang w:eastAsia="ja-JP"/>
              </w:rPr>
              <w:t>;</w:t>
            </w:r>
            <w:r w:rsidR="00453206">
              <w:rPr>
                <w:lang w:eastAsia="ja-JP"/>
              </w:rPr>
              <w:t xml:space="preserve"> 3.</w:t>
            </w:r>
            <w:r w:rsidR="001A60F4">
              <w:rPr>
                <w:lang w:eastAsia="ja-JP"/>
              </w:rPr>
              <w:t>4</w:t>
            </w:r>
          </w:p>
        </w:tc>
      </w:tr>
      <w:tr w:rsidR="00E64AD7" w14:paraId="3F8876A8" w14:textId="77777777" w:rsidTr="3CE7DD6E">
        <w:tc>
          <w:tcPr>
            <w:tcW w:w="3828" w:type="pct"/>
          </w:tcPr>
          <w:p w14:paraId="2779E494" w14:textId="787FB6D9" w:rsidR="00E64AD7" w:rsidRDefault="00F63AE9" w:rsidP="00E60E92">
            <w:pPr>
              <w:pStyle w:val="TableText"/>
              <w:rPr>
                <w:lang w:eastAsia="ja-JP"/>
              </w:rPr>
            </w:pPr>
            <w:r>
              <w:rPr>
                <w:lang w:eastAsia="ja-JP"/>
              </w:rPr>
              <w:t>Lack of information in public domain on internal processes and procedures</w:t>
            </w:r>
          </w:p>
        </w:tc>
        <w:tc>
          <w:tcPr>
            <w:tcW w:w="1172" w:type="pct"/>
          </w:tcPr>
          <w:p w14:paraId="0A42CB93" w14:textId="5480C673" w:rsidR="00E64AD7" w:rsidRDefault="00453206" w:rsidP="00E60E92">
            <w:pPr>
              <w:pStyle w:val="TableText"/>
              <w:rPr>
                <w:lang w:eastAsia="ja-JP"/>
              </w:rPr>
            </w:pPr>
            <w:r>
              <w:rPr>
                <w:lang w:eastAsia="ja-JP"/>
              </w:rPr>
              <w:t>Out of scope</w:t>
            </w:r>
          </w:p>
        </w:tc>
      </w:tr>
      <w:tr w:rsidR="00E64AD7" w14:paraId="5EE1FE11" w14:textId="77777777" w:rsidTr="3CE7DD6E">
        <w:tc>
          <w:tcPr>
            <w:tcW w:w="3828" w:type="pct"/>
          </w:tcPr>
          <w:p w14:paraId="3D741529" w14:textId="4C2CFDFD" w:rsidR="00E64AD7" w:rsidRDefault="00465040" w:rsidP="00E60E92">
            <w:pPr>
              <w:pStyle w:val="TableText"/>
              <w:rPr>
                <w:lang w:eastAsia="ja-JP"/>
              </w:rPr>
            </w:pPr>
            <w:r>
              <w:rPr>
                <w:lang w:eastAsia="ja-JP"/>
              </w:rPr>
              <w:t>Changing web page URLs creating difficulty accessing information</w:t>
            </w:r>
          </w:p>
        </w:tc>
        <w:tc>
          <w:tcPr>
            <w:tcW w:w="1172" w:type="pct"/>
          </w:tcPr>
          <w:p w14:paraId="295C8EE0" w14:textId="69F078DE" w:rsidR="00E64AD7" w:rsidRDefault="00473CCB" w:rsidP="00E60E92">
            <w:pPr>
              <w:pStyle w:val="TableText"/>
              <w:rPr>
                <w:lang w:eastAsia="ja-JP"/>
              </w:rPr>
            </w:pPr>
            <w:r>
              <w:rPr>
                <w:lang w:eastAsia="ja-JP"/>
              </w:rPr>
              <w:t xml:space="preserve">Section </w:t>
            </w:r>
            <w:r w:rsidR="00456CC1">
              <w:rPr>
                <w:lang w:eastAsia="ja-JP"/>
              </w:rPr>
              <w:t>1.</w:t>
            </w:r>
            <w:r w:rsidR="001A60F4">
              <w:rPr>
                <w:lang w:eastAsia="ja-JP"/>
              </w:rPr>
              <w:t>6</w:t>
            </w:r>
          </w:p>
        </w:tc>
      </w:tr>
    </w:tbl>
    <w:p w14:paraId="5D4CD29D" w14:textId="61D8B23C" w:rsidR="0065401A" w:rsidRDefault="005D0729">
      <w:pPr>
        <w:pStyle w:val="Heading2"/>
        <w:numPr>
          <w:ilvl w:val="0"/>
          <w:numId w:val="0"/>
        </w:numPr>
        <w:ind w:left="709" w:hanging="709"/>
      </w:pPr>
      <w:bookmarkStart w:id="60" w:name="_Toc131596849"/>
      <w:r>
        <w:lastRenderedPageBreak/>
        <w:t>Glossary</w:t>
      </w:r>
      <w:bookmarkEnd w:id="55"/>
      <w:bookmarkEnd w:id="6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6"/>
        <w:gridCol w:w="6804"/>
      </w:tblGrid>
      <w:tr w:rsidR="007304FF" w14:paraId="6BCAD9D9" w14:textId="77777777" w:rsidTr="3CE7DD6E">
        <w:trPr>
          <w:cantSplit/>
          <w:tblHeader/>
        </w:trPr>
        <w:tc>
          <w:tcPr>
            <w:tcW w:w="1249" w:type="pct"/>
          </w:tcPr>
          <w:p w14:paraId="15F0347A" w14:textId="77777777" w:rsidR="007304FF" w:rsidRDefault="007304FF" w:rsidP="0072353A">
            <w:pPr>
              <w:pStyle w:val="TableHeading"/>
            </w:pPr>
            <w:r>
              <w:t>Term</w:t>
            </w:r>
          </w:p>
        </w:tc>
        <w:tc>
          <w:tcPr>
            <w:tcW w:w="3751" w:type="pct"/>
          </w:tcPr>
          <w:p w14:paraId="3B19E74A" w14:textId="77777777" w:rsidR="007304FF" w:rsidRDefault="007304FF" w:rsidP="0072353A">
            <w:pPr>
              <w:pStyle w:val="TableHeading"/>
            </w:pPr>
            <w:r>
              <w:t>Definition</w:t>
            </w:r>
          </w:p>
        </w:tc>
      </w:tr>
      <w:tr w:rsidR="007304FF" w14:paraId="5FD61903" w14:textId="77777777" w:rsidTr="3CE7DD6E">
        <w:tc>
          <w:tcPr>
            <w:tcW w:w="1249" w:type="pct"/>
          </w:tcPr>
          <w:p w14:paraId="60143D1C" w14:textId="77777777" w:rsidR="007304FF" w:rsidRDefault="007304FF" w:rsidP="0072353A">
            <w:pPr>
              <w:pStyle w:val="TableText"/>
            </w:pPr>
            <w:r w:rsidRPr="005A1FF4">
              <w:t>animal welfare</w:t>
            </w:r>
          </w:p>
        </w:tc>
        <w:tc>
          <w:tcPr>
            <w:tcW w:w="3751" w:type="pct"/>
          </w:tcPr>
          <w:p w14:paraId="03794EF1" w14:textId="77777777" w:rsidR="007304FF" w:rsidRDefault="007304FF" w:rsidP="0072353A">
            <w:pPr>
              <w:pStyle w:val="TableText"/>
            </w:pPr>
            <w:r w:rsidRPr="005A1FF4">
              <w:t>The ability of an animal to cope with the conditions in which it lives and dies as described in the World Organisation for Animal Health (OIE) Terrestrial Animal Health Code.</w:t>
            </w:r>
          </w:p>
        </w:tc>
      </w:tr>
      <w:tr w:rsidR="007304FF" w14:paraId="19DFE0D2" w14:textId="77777777" w:rsidTr="3CE7DD6E">
        <w:tc>
          <w:tcPr>
            <w:tcW w:w="1249" w:type="pct"/>
          </w:tcPr>
          <w:p w14:paraId="338A8166" w14:textId="7CF543A1" w:rsidR="007304FF" w:rsidRDefault="003056AD" w:rsidP="0072353A">
            <w:pPr>
              <w:pStyle w:val="TableText"/>
            </w:pPr>
            <w:r>
              <w:t>A</w:t>
            </w:r>
            <w:r w:rsidR="007304FF" w:rsidRPr="00B72816">
              <w:t>ccredited veterinarian (AAV)</w:t>
            </w:r>
          </w:p>
        </w:tc>
        <w:tc>
          <w:tcPr>
            <w:tcW w:w="3751" w:type="pct"/>
          </w:tcPr>
          <w:p w14:paraId="639302D0" w14:textId="1B7E63F9" w:rsidR="007304FF" w:rsidRDefault="007304FF" w:rsidP="0072353A">
            <w:pPr>
              <w:pStyle w:val="TableText"/>
            </w:pPr>
            <w:r>
              <w:t xml:space="preserve">A veterinarian who is accredited by the department to carry out export operations in approved export programs. </w:t>
            </w:r>
            <w:r w:rsidR="008B71DA">
              <w:t xml:space="preserve">Previously referred to as Australian </w:t>
            </w:r>
            <w:r w:rsidR="00BB4FE3">
              <w:t>G</w:t>
            </w:r>
            <w:r w:rsidR="008B71DA">
              <w:t>overnment accredited veterinarian.</w:t>
            </w:r>
          </w:p>
        </w:tc>
      </w:tr>
      <w:tr w:rsidR="007304FF" w14:paraId="79ED2B0B" w14:textId="77777777" w:rsidTr="3CE7DD6E">
        <w:tc>
          <w:tcPr>
            <w:tcW w:w="1249" w:type="pct"/>
          </w:tcPr>
          <w:p w14:paraId="3CC0AA69" w14:textId="77777777" w:rsidR="007304FF" w:rsidRDefault="007304FF" w:rsidP="0072353A">
            <w:pPr>
              <w:pStyle w:val="TableText"/>
            </w:pPr>
            <w:r w:rsidRPr="003B3D14">
              <w:t>Australian Standards for the Export of Livestock (ASEL)</w:t>
            </w:r>
          </w:p>
        </w:tc>
        <w:tc>
          <w:tcPr>
            <w:tcW w:w="3751" w:type="pct"/>
          </w:tcPr>
          <w:p w14:paraId="46565AFB" w14:textId="77777777" w:rsidR="007304FF" w:rsidRDefault="007304FF" w:rsidP="0072353A">
            <w:pPr>
              <w:pStyle w:val="TableText"/>
            </w:pPr>
            <w:r w:rsidRPr="003B3D14">
              <w:t>The minimum animal health and welfare requirements the Australian Government expects the livestock export industry to meet throughout the supply chain from sourcing to disembarkation overseas.</w:t>
            </w:r>
          </w:p>
        </w:tc>
      </w:tr>
      <w:tr w:rsidR="007304FF" w14:paraId="70DD0E0F" w14:textId="77777777" w:rsidTr="3CE7DD6E">
        <w:tc>
          <w:tcPr>
            <w:tcW w:w="1249" w:type="pct"/>
          </w:tcPr>
          <w:p w14:paraId="1A99395D" w14:textId="77777777" w:rsidR="007304FF" w:rsidRDefault="007304FF" w:rsidP="0072353A">
            <w:pPr>
              <w:pStyle w:val="TableText"/>
            </w:pPr>
            <w:r w:rsidRPr="007D2DEC">
              <w:t>collaboration</w:t>
            </w:r>
          </w:p>
        </w:tc>
        <w:tc>
          <w:tcPr>
            <w:tcW w:w="3751" w:type="pct"/>
          </w:tcPr>
          <w:p w14:paraId="033A5BB6" w14:textId="77777777" w:rsidR="007304FF" w:rsidRDefault="007304FF" w:rsidP="0072353A">
            <w:pPr>
              <w:pStyle w:val="TableText"/>
            </w:pPr>
            <w:r w:rsidRPr="007D2DEC">
              <w:t>United effort between the department and other agencies on a project or piece of work.</w:t>
            </w:r>
          </w:p>
        </w:tc>
      </w:tr>
      <w:tr w:rsidR="007304FF" w14:paraId="62B27DBE" w14:textId="77777777" w:rsidTr="3CE7DD6E">
        <w:tc>
          <w:tcPr>
            <w:tcW w:w="1249" w:type="pct"/>
          </w:tcPr>
          <w:p w14:paraId="6B715773" w14:textId="77777777" w:rsidR="007304FF" w:rsidRDefault="007304FF" w:rsidP="0072353A">
            <w:pPr>
              <w:pStyle w:val="TableText"/>
            </w:pPr>
            <w:r w:rsidRPr="00610FA9">
              <w:t>consignment</w:t>
            </w:r>
          </w:p>
        </w:tc>
        <w:tc>
          <w:tcPr>
            <w:tcW w:w="3751" w:type="pct"/>
          </w:tcPr>
          <w:p w14:paraId="7634CD3C" w14:textId="77777777" w:rsidR="007304FF" w:rsidRDefault="007304FF" w:rsidP="0072353A">
            <w:pPr>
              <w:pStyle w:val="TableText"/>
            </w:pPr>
            <w:r w:rsidRPr="00610FA9">
              <w:t>A group of livestock that are under export preparation by one exporter and are destined for export, or have been exported, from a single seaport or airport.</w:t>
            </w:r>
          </w:p>
        </w:tc>
      </w:tr>
      <w:tr w:rsidR="007304FF" w14:paraId="5CBC2ABD" w14:textId="77777777" w:rsidTr="3CE7DD6E">
        <w:tc>
          <w:tcPr>
            <w:tcW w:w="1249" w:type="pct"/>
          </w:tcPr>
          <w:p w14:paraId="748EC11B" w14:textId="77777777" w:rsidR="007304FF" w:rsidRDefault="007304FF" w:rsidP="0072353A">
            <w:pPr>
              <w:pStyle w:val="TableText"/>
            </w:pPr>
            <w:r w:rsidRPr="001A6FD6">
              <w:t>consultation</w:t>
            </w:r>
          </w:p>
        </w:tc>
        <w:tc>
          <w:tcPr>
            <w:tcW w:w="3751" w:type="pct"/>
          </w:tcPr>
          <w:p w14:paraId="239315E8" w14:textId="77777777" w:rsidR="007304FF" w:rsidRDefault="007304FF" w:rsidP="0072353A">
            <w:pPr>
              <w:pStyle w:val="TableText"/>
            </w:pPr>
            <w:r w:rsidRPr="001A6FD6">
              <w:t>A formal process where the department seeks feedback from stakeholders.</w:t>
            </w:r>
          </w:p>
        </w:tc>
      </w:tr>
      <w:tr w:rsidR="007304FF" w14:paraId="30A2780E" w14:textId="77777777" w:rsidTr="3CE7DD6E">
        <w:tc>
          <w:tcPr>
            <w:tcW w:w="1249" w:type="pct"/>
          </w:tcPr>
          <w:p w14:paraId="39C07D1C" w14:textId="77777777" w:rsidR="007304FF" w:rsidRDefault="007304FF" w:rsidP="0072353A">
            <w:pPr>
              <w:pStyle w:val="TableText"/>
            </w:pPr>
            <w:r w:rsidRPr="00F4459B">
              <w:t>export advisory notice (EAN)</w:t>
            </w:r>
          </w:p>
        </w:tc>
        <w:tc>
          <w:tcPr>
            <w:tcW w:w="3751" w:type="pct"/>
          </w:tcPr>
          <w:p w14:paraId="288C7CF4" w14:textId="7DDBDB28" w:rsidR="007304FF" w:rsidRDefault="4DF4394C" w:rsidP="0072353A">
            <w:pPr>
              <w:pStyle w:val="TableText"/>
            </w:pPr>
            <w:r>
              <w:t xml:space="preserve">Inform livestock </w:t>
            </w:r>
            <w:r w:rsidR="6B675EF4">
              <w:t>stakeholders</w:t>
            </w:r>
            <w:r>
              <w:t xml:space="preserve"> of any changes that impact the live export process or standards, regulatory changes, items open for consultation and other notifications.</w:t>
            </w:r>
          </w:p>
        </w:tc>
      </w:tr>
      <w:tr w:rsidR="007304FF" w14:paraId="668D3842" w14:textId="77777777" w:rsidTr="3CE7DD6E">
        <w:tc>
          <w:tcPr>
            <w:tcW w:w="1249" w:type="pct"/>
          </w:tcPr>
          <w:p w14:paraId="63E47BA3" w14:textId="77777777" w:rsidR="007304FF" w:rsidRDefault="007304FF" w:rsidP="0072353A">
            <w:pPr>
              <w:pStyle w:val="TableText"/>
            </w:pPr>
            <w:r w:rsidRPr="00FB59A7">
              <w:t>forum</w:t>
            </w:r>
          </w:p>
        </w:tc>
        <w:tc>
          <w:tcPr>
            <w:tcW w:w="3751" w:type="pct"/>
          </w:tcPr>
          <w:p w14:paraId="4F681227" w14:textId="77777777" w:rsidR="007304FF" w:rsidRDefault="007304FF" w:rsidP="0072353A">
            <w:pPr>
              <w:pStyle w:val="TableText"/>
            </w:pPr>
            <w:r w:rsidRPr="00FB59A7">
              <w:t>An assembly to provide for discussion of issues and information sharing.</w:t>
            </w:r>
          </w:p>
        </w:tc>
      </w:tr>
      <w:tr w:rsidR="007304FF" w14:paraId="168F4D81" w14:textId="77777777" w:rsidTr="3CE7DD6E">
        <w:tc>
          <w:tcPr>
            <w:tcW w:w="1249" w:type="pct"/>
          </w:tcPr>
          <w:p w14:paraId="52B430DD" w14:textId="77777777" w:rsidR="007304FF" w:rsidRDefault="007304FF" w:rsidP="0072353A">
            <w:pPr>
              <w:pStyle w:val="TableText"/>
            </w:pPr>
            <w:r w:rsidRPr="00DB7E48">
              <w:t>independent observer (IO)</w:t>
            </w:r>
          </w:p>
        </w:tc>
        <w:tc>
          <w:tcPr>
            <w:tcW w:w="3751" w:type="pct"/>
          </w:tcPr>
          <w:p w14:paraId="65C375E9" w14:textId="38482A92" w:rsidR="007304FF" w:rsidRDefault="210EB561" w:rsidP="0072353A">
            <w:pPr>
              <w:pStyle w:val="TableText"/>
            </w:pPr>
            <w:r>
              <w:t>Departmental staff that accompany livestock voyages by sea to</w:t>
            </w:r>
            <w:r w:rsidR="00474720">
              <w:t xml:space="preserve"> monitor and provide data on exporter arrangements on-board livestock export vessels.</w:t>
            </w:r>
          </w:p>
        </w:tc>
      </w:tr>
      <w:tr w:rsidR="007304FF" w14:paraId="2B5BFCB8" w14:textId="77777777" w:rsidTr="3CE7DD6E">
        <w:tc>
          <w:tcPr>
            <w:tcW w:w="1249" w:type="pct"/>
          </w:tcPr>
          <w:p w14:paraId="129D09E2" w14:textId="77777777" w:rsidR="007304FF" w:rsidRDefault="007304FF" w:rsidP="0072353A">
            <w:pPr>
              <w:pStyle w:val="TableText"/>
            </w:pPr>
            <w:r w:rsidRPr="00D14429">
              <w:t>livestock</w:t>
            </w:r>
          </w:p>
        </w:tc>
        <w:tc>
          <w:tcPr>
            <w:tcW w:w="3751" w:type="pct"/>
          </w:tcPr>
          <w:p w14:paraId="2D90E989" w14:textId="77777777" w:rsidR="007304FF" w:rsidRDefault="007304FF" w:rsidP="0072353A">
            <w:pPr>
              <w:pStyle w:val="TableText"/>
            </w:pPr>
            <w:r w:rsidRPr="00D14429">
              <w:t xml:space="preserve">Cattle, sheep, goats, deer, </w:t>
            </w:r>
            <w:proofErr w:type="gramStart"/>
            <w:r w:rsidRPr="00D14429">
              <w:t>buffalo</w:t>
            </w:r>
            <w:proofErr w:type="gramEnd"/>
            <w:r w:rsidRPr="00D14429">
              <w:t xml:space="preserve"> and camelids, including the young of these animals.</w:t>
            </w:r>
          </w:p>
        </w:tc>
      </w:tr>
      <w:tr w:rsidR="007304FF" w14:paraId="235DE1E3" w14:textId="77777777" w:rsidTr="3CE7DD6E">
        <w:tc>
          <w:tcPr>
            <w:tcW w:w="1249" w:type="pct"/>
          </w:tcPr>
          <w:p w14:paraId="02FAF16B" w14:textId="77777777" w:rsidR="007304FF" w:rsidRDefault="007304FF" w:rsidP="0072353A">
            <w:pPr>
              <w:pStyle w:val="TableText"/>
            </w:pPr>
            <w:r w:rsidRPr="007A3E24">
              <w:t>livestock export consignment report (LECR)</w:t>
            </w:r>
          </w:p>
        </w:tc>
        <w:tc>
          <w:tcPr>
            <w:tcW w:w="3751" w:type="pct"/>
          </w:tcPr>
          <w:p w14:paraId="700C4FCA" w14:textId="2EC22EAE" w:rsidR="007304FF" w:rsidRDefault="4DF4394C" w:rsidP="0072353A">
            <w:pPr>
              <w:pStyle w:val="TableText"/>
            </w:pPr>
            <w:r>
              <w:t>A report recording any issues and potential or actual non</w:t>
            </w:r>
            <w:r w:rsidR="73984259">
              <w:t>-</w:t>
            </w:r>
            <w:r>
              <w:t>compliance identified during livestock inspection and document verification.</w:t>
            </w:r>
          </w:p>
        </w:tc>
      </w:tr>
      <w:tr w:rsidR="007304FF" w14:paraId="223EBF6B" w14:textId="77777777" w:rsidTr="3CE7DD6E">
        <w:tc>
          <w:tcPr>
            <w:tcW w:w="1249" w:type="pct"/>
          </w:tcPr>
          <w:p w14:paraId="63AF826D" w14:textId="77777777" w:rsidR="007304FF" w:rsidRDefault="007304FF" w:rsidP="0072353A">
            <w:pPr>
              <w:pStyle w:val="TableText"/>
            </w:pPr>
            <w:r w:rsidRPr="00590D14">
              <w:t>market access notice (MAN)</w:t>
            </w:r>
          </w:p>
        </w:tc>
        <w:tc>
          <w:tcPr>
            <w:tcW w:w="3751" w:type="pct"/>
          </w:tcPr>
          <w:p w14:paraId="5F2B7BF1" w14:textId="7389936F" w:rsidR="007304FF" w:rsidRDefault="4DF4394C" w:rsidP="0072353A">
            <w:pPr>
              <w:pStyle w:val="TableText"/>
            </w:pPr>
            <w:r>
              <w:t>Inform livestock</w:t>
            </w:r>
            <w:r w:rsidR="007304FF">
              <w:t xml:space="preserve"> exporters</w:t>
            </w:r>
            <w:r>
              <w:t xml:space="preserve"> of overseas market access information.</w:t>
            </w:r>
          </w:p>
        </w:tc>
      </w:tr>
      <w:tr w:rsidR="007304FF" w14:paraId="15613F48" w14:textId="77777777" w:rsidTr="3CE7DD6E">
        <w:tc>
          <w:tcPr>
            <w:tcW w:w="1249" w:type="pct"/>
          </w:tcPr>
          <w:p w14:paraId="5C4230CE" w14:textId="77777777" w:rsidR="007304FF" w:rsidRDefault="007304FF" w:rsidP="0072353A">
            <w:pPr>
              <w:pStyle w:val="TableText"/>
            </w:pPr>
            <w:r w:rsidRPr="00454798">
              <w:t>regional veterinary officer (RVO)</w:t>
            </w:r>
          </w:p>
        </w:tc>
        <w:tc>
          <w:tcPr>
            <w:tcW w:w="3751" w:type="pct"/>
          </w:tcPr>
          <w:p w14:paraId="72572CDE" w14:textId="454D0E61" w:rsidR="007304FF" w:rsidRDefault="007304FF" w:rsidP="0072353A">
            <w:pPr>
              <w:pStyle w:val="TableText"/>
            </w:pPr>
            <w:r w:rsidRPr="00454798">
              <w:t>A departmental veterinary officer authorised to inspect livestock for export and issue export permits and</w:t>
            </w:r>
            <w:r w:rsidR="002E3194">
              <w:t xml:space="preserve"> </w:t>
            </w:r>
            <w:r w:rsidR="00CD005B">
              <w:t>government</w:t>
            </w:r>
            <w:r w:rsidR="00CD005B" w:rsidRPr="00454798">
              <w:t xml:space="preserve"> </w:t>
            </w:r>
            <w:r w:rsidRPr="00454798">
              <w:t>certificates.</w:t>
            </w:r>
          </w:p>
        </w:tc>
      </w:tr>
      <w:tr w:rsidR="007304FF" w14:paraId="7EB60F61" w14:textId="77777777" w:rsidTr="3CE7DD6E">
        <w:tc>
          <w:tcPr>
            <w:tcW w:w="1249" w:type="pct"/>
          </w:tcPr>
          <w:p w14:paraId="4EC55FBB" w14:textId="77777777" w:rsidR="007304FF" w:rsidRDefault="007304FF" w:rsidP="0072353A">
            <w:pPr>
              <w:pStyle w:val="TableText"/>
            </w:pPr>
            <w:r w:rsidRPr="0000267C">
              <w:t>the department</w:t>
            </w:r>
          </w:p>
        </w:tc>
        <w:tc>
          <w:tcPr>
            <w:tcW w:w="3751" w:type="pct"/>
          </w:tcPr>
          <w:p w14:paraId="04F67A14" w14:textId="77777777" w:rsidR="007304FF" w:rsidRDefault="007304FF" w:rsidP="0072353A">
            <w:pPr>
              <w:pStyle w:val="TableText"/>
            </w:pPr>
            <w:r w:rsidRPr="0000267C">
              <w:t>The Department of Agriculture, Fisheries and Forestry (and its predecessors).</w:t>
            </w:r>
          </w:p>
        </w:tc>
      </w:tr>
      <w:tr w:rsidR="007304FF" w14:paraId="285E401B" w14:textId="77777777" w:rsidTr="3CE7DD6E">
        <w:tc>
          <w:tcPr>
            <w:tcW w:w="1249" w:type="pct"/>
          </w:tcPr>
          <w:p w14:paraId="2978EC55" w14:textId="77777777" w:rsidR="007304FF" w:rsidRDefault="007304FF" w:rsidP="0072353A">
            <w:pPr>
              <w:pStyle w:val="TableText"/>
            </w:pPr>
            <w:r w:rsidRPr="007F55E8">
              <w:t>Tracking Animal Certification for Export (TRACE)</w:t>
            </w:r>
          </w:p>
        </w:tc>
        <w:tc>
          <w:tcPr>
            <w:tcW w:w="3751" w:type="pct"/>
          </w:tcPr>
          <w:p w14:paraId="1F0F4888" w14:textId="77777777" w:rsidR="007304FF" w:rsidRDefault="007304FF" w:rsidP="0072353A">
            <w:pPr>
              <w:pStyle w:val="TableText"/>
            </w:pPr>
            <w:r w:rsidRPr="007F55E8">
              <w:t>An online departmental system that manages the application and approval processes for consignments of all live animals exported from Australia.</w:t>
            </w:r>
          </w:p>
        </w:tc>
      </w:tr>
    </w:tbl>
    <w:p w14:paraId="5F70E6DD" w14:textId="3E966937" w:rsidR="0065401A" w:rsidRDefault="005D0729" w:rsidP="000E79C7">
      <w:pPr>
        <w:pStyle w:val="Heading2"/>
        <w:numPr>
          <w:ilvl w:val="0"/>
          <w:numId w:val="0"/>
        </w:numPr>
        <w:ind w:left="709" w:hanging="709"/>
      </w:pPr>
      <w:bookmarkStart w:id="61" w:name="_Toc430782162"/>
      <w:bookmarkStart w:id="62" w:name="_Toc131596850"/>
      <w:r>
        <w:lastRenderedPageBreak/>
        <w:t>References</w:t>
      </w:r>
      <w:bookmarkEnd w:id="61"/>
      <w:bookmarkEnd w:id="62"/>
    </w:p>
    <w:p w14:paraId="39BE0424" w14:textId="1EAB16B8" w:rsidR="005254BF" w:rsidRDefault="005254BF" w:rsidP="005254BF">
      <w:pPr>
        <w:rPr>
          <w:lang w:eastAsia="ja-JP"/>
        </w:rPr>
      </w:pPr>
      <w:r>
        <w:rPr>
          <w:lang w:eastAsia="ja-JP"/>
        </w:rPr>
        <w:t>ALEC 2022, Submission to the Inspector-General of Live Animal Exports review, Australian Livestock Exporters’ Council, Canberra, December.</w:t>
      </w:r>
    </w:p>
    <w:p w14:paraId="34559235" w14:textId="1C5ED2E5" w:rsidR="008C6E79" w:rsidRDefault="008C6E79" w:rsidP="009B334E">
      <w:pPr>
        <w:rPr>
          <w:lang w:eastAsia="ja-JP"/>
        </w:rPr>
      </w:pPr>
      <w:r>
        <w:rPr>
          <w:lang w:eastAsia="ja-JP"/>
        </w:rPr>
        <w:t xml:space="preserve">APSC 2021, </w:t>
      </w:r>
      <w:hyperlink r:id="rId31" w:history="1">
        <w:r w:rsidRPr="008C6E79">
          <w:rPr>
            <w:rStyle w:val="Hyperlink"/>
            <w:lang w:eastAsia="ja-JP"/>
          </w:rPr>
          <w:t>APS values and code of conduct in practice</w:t>
        </w:r>
      </w:hyperlink>
      <w:r>
        <w:rPr>
          <w:lang w:eastAsia="ja-JP"/>
        </w:rPr>
        <w:t>, Australian Public Service Commission, Australian Government, Canberra, accessed 27 February 2023.</w:t>
      </w:r>
    </w:p>
    <w:p w14:paraId="4149EFD3" w14:textId="36DF6C96" w:rsidR="009B334E" w:rsidRDefault="009B334E" w:rsidP="009B334E">
      <w:pPr>
        <w:rPr>
          <w:lang w:eastAsia="ja-JP"/>
        </w:rPr>
      </w:pPr>
      <w:r w:rsidRPr="00683E52">
        <w:rPr>
          <w:lang w:eastAsia="ja-JP"/>
        </w:rPr>
        <w:t xml:space="preserve">Australian Alliance for Animals </w:t>
      </w:r>
      <w:r>
        <w:rPr>
          <w:lang w:eastAsia="ja-JP"/>
        </w:rPr>
        <w:t xml:space="preserve">2022, </w:t>
      </w:r>
      <w:r w:rsidRPr="00683E52">
        <w:rPr>
          <w:lang w:eastAsia="ja-JP"/>
        </w:rPr>
        <w:t>Submission to the Inspector-General of Live Animal Exports review</w:t>
      </w:r>
      <w:r>
        <w:rPr>
          <w:lang w:eastAsia="ja-JP"/>
        </w:rPr>
        <w:t>, Australian Alliance for Animals, Canberra, December.</w:t>
      </w:r>
    </w:p>
    <w:p w14:paraId="7182E965" w14:textId="77777777" w:rsidR="000D56A9" w:rsidRDefault="000D56A9" w:rsidP="000D56A9">
      <w:pPr>
        <w:rPr>
          <w:lang w:eastAsia="ja-JP"/>
        </w:rPr>
      </w:pPr>
      <w:r w:rsidRPr="00A406F9">
        <w:rPr>
          <w:lang w:eastAsia="ja-JP"/>
        </w:rPr>
        <w:t xml:space="preserve">Commonwealth of Australia 2023, </w:t>
      </w:r>
      <w:hyperlink r:id="rId32" w:history="1">
        <w:r w:rsidRPr="00A406F9">
          <w:rPr>
            <w:rStyle w:val="Hyperlink"/>
            <w:lang w:eastAsia="ja-JP"/>
          </w:rPr>
          <w:t>Estimates committee debates: Senate Rural and Regional Affairs and Transport Legislation Committee, proof Hansard 14 February 2023</w:t>
        </w:r>
      </w:hyperlink>
      <w:r w:rsidRPr="00A406F9">
        <w:rPr>
          <w:lang w:eastAsia="ja-JP"/>
        </w:rPr>
        <w:t xml:space="preserve">, </w:t>
      </w:r>
      <w:r w:rsidRPr="006A798C">
        <w:rPr>
          <w:lang w:eastAsia="ja-JP"/>
        </w:rPr>
        <w:t>Canberra, pp. 99</w:t>
      </w:r>
      <w:r>
        <w:rPr>
          <w:lang w:eastAsia="ja-JP"/>
        </w:rPr>
        <w:t>.</w:t>
      </w:r>
    </w:p>
    <w:p w14:paraId="1DBE18F5" w14:textId="6A07887D" w:rsidR="00686B06" w:rsidRDefault="00686B06" w:rsidP="000E79C7">
      <w:pPr>
        <w:rPr>
          <w:lang w:eastAsia="ja-JP"/>
        </w:rPr>
      </w:pPr>
      <w:r>
        <w:rPr>
          <w:lang w:eastAsia="ja-JP"/>
        </w:rPr>
        <w:t>DAFF 2022</w:t>
      </w:r>
      <w:r w:rsidR="006B57E6">
        <w:rPr>
          <w:lang w:eastAsia="ja-JP"/>
        </w:rPr>
        <w:t>a</w:t>
      </w:r>
      <w:r>
        <w:rPr>
          <w:lang w:eastAsia="ja-JP"/>
        </w:rPr>
        <w:t xml:space="preserve">, </w:t>
      </w:r>
      <w:hyperlink r:id="rId33" w:history="1">
        <w:r w:rsidRPr="00686B06">
          <w:rPr>
            <w:rStyle w:val="Hyperlink"/>
            <w:lang w:eastAsia="ja-JP"/>
          </w:rPr>
          <w:t>ESCAS investigations</w:t>
        </w:r>
      </w:hyperlink>
      <w:r>
        <w:rPr>
          <w:lang w:eastAsia="ja-JP"/>
        </w:rPr>
        <w:t xml:space="preserve">, </w:t>
      </w:r>
      <w:bookmarkStart w:id="63" w:name="_Hlk126239194"/>
      <w:r>
        <w:rPr>
          <w:lang w:eastAsia="ja-JP"/>
        </w:rPr>
        <w:t>Department of Agriculture, Fisheries and Forestry, Canberra, accessed 22 December 2022.</w:t>
      </w:r>
      <w:bookmarkEnd w:id="63"/>
    </w:p>
    <w:p w14:paraId="46E01CBC" w14:textId="21E99B8D" w:rsidR="006B57E6" w:rsidRDefault="006B57E6" w:rsidP="000E79C7">
      <w:pPr>
        <w:rPr>
          <w:lang w:eastAsia="ja-JP"/>
        </w:rPr>
      </w:pPr>
      <w:r>
        <w:rPr>
          <w:lang w:eastAsia="ja-JP"/>
        </w:rPr>
        <w:t xml:space="preserve">DAFF 2022b, </w:t>
      </w:r>
      <w:hyperlink r:id="rId34" w:history="1">
        <w:r w:rsidRPr="006B57E6">
          <w:rPr>
            <w:rStyle w:val="Hyperlink"/>
            <w:lang w:eastAsia="ja-JP"/>
          </w:rPr>
          <w:t>Privacy policy</w:t>
        </w:r>
      </w:hyperlink>
      <w:r>
        <w:rPr>
          <w:lang w:eastAsia="ja-JP"/>
        </w:rPr>
        <w:t xml:space="preserve">, </w:t>
      </w:r>
      <w:r w:rsidRPr="006B57E6">
        <w:rPr>
          <w:lang w:eastAsia="ja-JP"/>
        </w:rPr>
        <w:t xml:space="preserve">Department of Agriculture, Fisheries and Forestry, Canberra, accessed 2 </w:t>
      </w:r>
      <w:r>
        <w:rPr>
          <w:lang w:eastAsia="ja-JP"/>
        </w:rPr>
        <w:t>February</w:t>
      </w:r>
      <w:r w:rsidRPr="006B57E6">
        <w:rPr>
          <w:lang w:eastAsia="ja-JP"/>
        </w:rPr>
        <w:t xml:space="preserve"> 2022.</w:t>
      </w:r>
    </w:p>
    <w:p w14:paraId="2B4F2CF0" w14:textId="7DEB4C6E" w:rsidR="000E79C7" w:rsidRDefault="00774358" w:rsidP="000E79C7">
      <w:pPr>
        <w:rPr>
          <w:lang w:eastAsia="ja-JP"/>
        </w:rPr>
      </w:pPr>
      <w:r>
        <w:rPr>
          <w:lang w:eastAsia="ja-JP"/>
        </w:rPr>
        <w:t xml:space="preserve">DAWE 2022, </w:t>
      </w:r>
      <w:hyperlink r:id="rId35" w:anchor="how-we-engage-with-you" w:history="1">
        <w:r w:rsidRPr="00774358">
          <w:rPr>
            <w:rStyle w:val="Hyperlink"/>
            <w:lang w:eastAsia="ja-JP"/>
          </w:rPr>
          <w:t>Stakeholder communication and engagement policy live animal exports</w:t>
        </w:r>
      </w:hyperlink>
      <w:r>
        <w:rPr>
          <w:lang w:eastAsia="ja-JP"/>
        </w:rPr>
        <w:t>, Department of Agriculture, Water and the Environment, Canberra, accessed 3 November 2022.</w:t>
      </w:r>
    </w:p>
    <w:p w14:paraId="6B3529F1" w14:textId="4E3E9868" w:rsidR="00E53DCC" w:rsidRDefault="00E53DCC" w:rsidP="00E53DCC">
      <w:pPr>
        <w:rPr>
          <w:lang w:eastAsia="ja-JP"/>
        </w:rPr>
      </w:pPr>
      <w:r>
        <w:rPr>
          <w:lang w:eastAsia="ja-JP"/>
        </w:rPr>
        <w:t>IGLAE 2020</w:t>
      </w:r>
      <w:r w:rsidR="00F123D1">
        <w:rPr>
          <w:lang w:eastAsia="ja-JP"/>
        </w:rPr>
        <w:t>a</w:t>
      </w:r>
      <w:r>
        <w:rPr>
          <w:lang w:eastAsia="ja-JP"/>
        </w:rPr>
        <w:t xml:space="preserve">, </w:t>
      </w:r>
      <w:hyperlink r:id="rId36" w:history="1">
        <w:r w:rsidR="004E7AA7">
          <w:rPr>
            <w:rStyle w:val="Hyperlink"/>
            <w:lang w:eastAsia="ja-JP"/>
          </w:rPr>
          <w:t>Implementation of Moss Review recommendations</w:t>
        </w:r>
      </w:hyperlink>
      <w:r>
        <w:rPr>
          <w:lang w:eastAsia="ja-JP"/>
        </w:rPr>
        <w:t>, Inspector-General of Live Animal Exports, Canberra.</w:t>
      </w:r>
    </w:p>
    <w:p w14:paraId="0C55C2E6" w14:textId="77777777" w:rsidR="00902613" w:rsidRDefault="00902613" w:rsidP="00902613">
      <w:pPr>
        <w:rPr>
          <w:lang w:eastAsia="ja-JP"/>
        </w:rPr>
      </w:pPr>
      <w:r>
        <w:rPr>
          <w:lang w:eastAsia="ja-JP"/>
        </w:rPr>
        <w:t xml:space="preserve">IGLAE 2020b, </w:t>
      </w:r>
      <w:hyperlink r:id="rId37" w:history="1">
        <w:r w:rsidRPr="008D0866">
          <w:rPr>
            <w:rStyle w:val="Hyperlink"/>
            <w:lang w:eastAsia="ja-JP"/>
          </w:rPr>
          <w:t xml:space="preserve">Monitoring and reporting </w:t>
        </w:r>
        <w:r>
          <w:rPr>
            <w:rStyle w:val="Hyperlink"/>
            <w:lang w:eastAsia="ja-JP"/>
          </w:rPr>
          <w:t>during</w:t>
        </w:r>
        <w:r w:rsidRPr="008D0866">
          <w:rPr>
            <w:rStyle w:val="Hyperlink"/>
            <w:lang w:eastAsia="ja-JP"/>
          </w:rPr>
          <w:t xml:space="preserve"> livestock export voyages</w:t>
        </w:r>
      </w:hyperlink>
      <w:r>
        <w:rPr>
          <w:lang w:eastAsia="ja-JP"/>
        </w:rPr>
        <w:t>, Inspector-General of Live Animal Exports, Canberra.</w:t>
      </w:r>
    </w:p>
    <w:p w14:paraId="1306F0E5" w14:textId="77777777" w:rsidR="00FF6BFA" w:rsidRDefault="00FF6BFA" w:rsidP="00FF6BFA">
      <w:pPr>
        <w:rPr>
          <w:lang w:eastAsia="ja-JP"/>
        </w:rPr>
      </w:pPr>
      <w:bookmarkStart w:id="64" w:name="_Hlk130997577"/>
      <w:r>
        <w:rPr>
          <w:lang w:eastAsia="ja-JP"/>
        </w:rPr>
        <w:t xml:space="preserve">IGLAE 2021a, </w:t>
      </w:r>
      <w:hyperlink r:id="rId38" w:history="1">
        <w:r>
          <w:rPr>
            <w:rStyle w:val="Hyperlink"/>
            <w:lang w:eastAsia="ja-JP"/>
          </w:rPr>
          <w:t>Review of the Exporter Supply Chain Assurance System</w:t>
        </w:r>
      </w:hyperlink>
      <w:r>
        <w:rPr>
          <w:lang w:eastAsia="ja-JP"/>
        </w:rPr>
        <w:t xml:space="preserve">, </w:t>
      </w:r>
      <w:r w:rsidRPr="005334E4">
        <w:rPr>
          <w:lang w:eastAsia="ja-JP"/>
        </w:rPr>
        <w:t>Inspector-General of Live Animal Exports, Canberra.</w:t>
      </w:r>
    </w:p>
    <w:p w14:paraId="234A3504" w14:textId="38719443" w:rsidR="00683DC1" w:rsidRDefault="00683DC1" w:rsidP="00683DC1">
      <w:pPr>
        <w:rPr>
          <w:lang w:eastAsia="ja-JP"/>
        </w:rPr>
      </w:pPr>
      <w:r>
        <w:rPr>
          <w:lang w:eastAsia="ja-JP"/>
        </w:rPr>
        <w:t>IGLAE 2021</w:t>
      </w:r>
      <w:r w:rsidR="00FF6BFA">
        <w:rPr>
          <w:lang w:eastAsia="ja-JP"/>
        </w:rPr>
        <w:t>b</w:t>
      </w:r>
      <w:r>
        <w:rPr>
          <w:lang w:eastAsia="ja-JP"/>
        </w:rPr>
        <w:t xml:space="preserve">, </w:t>
      </w:r>
      <w:hyperlink r:id="rId39" w:history="1">
        <w:r w:rsidRPr="00076BEB">
          <w:rPr>
            <w:rStyle w:val="Hyperlink"/>
            <w:lang w:eastAsia="ja-JP"/>
          </w:rPr>
          <w:t>Livestock export permit systems and processes</w:t>
        </w:r>
      </w:hyperlink>
      <w:r>
        <w:rPr>
          <w:lang w:eastAsia="ja-JP"/>
        </w:rPr>
        <w:t xml:space="preserve">, </w:t>
      </w:r>
      <w:r w:rsidRPr="005334E4">
        <w:rPr>
          <w:lang w:eastAsia="ja-JP"/>
        </w:rPr>
        <w:t>Inspector-General of Live Animal Exports, Canberra.</w:t>
      </w:r>
    </w:p>
    <w:p w14:paraId="70E0B08B" w14:textId="77777777" w:rsidR="00683DC1" w:rsidRDefault="00683DC1" w:rsidP="00683DC1">
      <w:pPr>
        <w:rPr>
          <w:lang w:eastAsia="ja-JP"/>
        </w:rPr>
      </w:pPr>
      <w:bookmarkStart w:id="65" w:name="_Hlk128129932"/>
      <w:bookmarkEnd w:id="64"/>
      <w:r>
        <w:rPr>
          <w:lang w:eastAsia="ja-JP"/>
        </w:rPr>
        <w:t xml:space="preserve">IGLAE 2022, </w:t>
      </w:r>
      <w:hyperlink r:id="rId40" w:history="1">
        <w:r w:rsidRPr="00076BEB">
          <w:rPr>
            <w:rStyle w:val="Hyperlink"/>
            <w:lang w:eastAsia="ja-JP"/>
          </w:rPr>
          <w:t>Livestock export licences and approved arrangements</w:t>
        </w:r>
      </w:hyperlink>
      <w:r>
        <w:rPr>
          <w:lang w:eastAsia="ja-JP"/>
        </w:rPr>
        <w:t xml:space="preserve">, </w:t>
      </w:r>
      <w:r w:rsidRPr="005334E4">
        <w:rPr>
          <w:lang w:eastAsia="ja-JP"/>
        </w:rPr>
        <w:t>Inspector-General of Live Animal Exports, Canberra.</w:t>
      </w:r>
    </w:p>
    <w:bookmarkEnd w:id="65"/>
    <w:p w14:paraId="64EC2782" w14:textId="4F6F327B" w:rsidR="009B334E" w:rsidRDefault="009B334E" w:rsidP="009B334E">
      <w:pPr>
        <w:rPr>
          <w:lang w:eastAsia="ja-JP"/>
        </w:rPr>
      </w:pPr>
      <w:r>
        <w:rPr>
          <w:lang w:eastAsia="ja-JP"/>
        </w:rPr>
        <w:t>Law Council of Australia 2022, Submission to the Inspector-General of Live Animal Exports review, Law Council of Australia, Business law section, Canberra, December.</w:t>
      </w:r>
    </w:p>
    <w:p w14:paraId="4191E079" w14:textId="1B7B3827" w:rsidR="00F72139" w:rsidRDefault="00F72139" w:rsidP="000E79C7">
      <w:pPr>
        <w:rPr>
          <w:lang w:eastAsia="ja-JP"/>
        </w:rPr>
      </w:pPr>
      <w:r>
        <w:rPr>
          <w:lang w:eastAsia="ja-JP"/>
        </w:rPr>
        <w:t xml:space="preserve">Littleproud, D, 2019, </w:t>
      </w:r>
      <w:hyperlink r:id="rId41" w:history="1">
        <w:r w:rsidR="004916BD">
          <w:rPr>
            <w:rStyle w:val="Hyperlink"/>
            <w:lang w:eastAsia="ja-JP"/>
          </w:rPr>
          <w:t>Live exports: first Independent Observer report released</w:t>
        </w:r>
      </w:hyperlink>
      <w:r w:rsidR="001B5127">
        <w:rPr>
          <w:lang w:eastAsia="ja-JP"/>
        </w:rPr>
        <w:t>, Parliament of Australia, Canberra, accessed 7 February, 2023.</w:t>
      </w:r>
    </w:p>
    <w:p w14:paraId="337345ED" w14:textId="7F573C81" w:rsidR="009922D3" w:rsidRDefault="009922D3" w:rsidP="000E79C7">
      <w:pPr>
        <w:rPr>
          <w:lang w:eastAsia="ja-JP"/>
        </w:rPr>
      </w:pPr>
      <w:r>
        <w:rPr>
          <w:lang w:eastAsia="ja-JP"/>
        </w:rPr>
        <w:t xml:space="preserve">PMC 2020, </w:t>
      </w:r>
      <w:hyperlink r:id="rId42" w:history="1">
        <w:r w:rsidR="008A5994">
          <w:rPr>
            <w:rStyle w:val="Hyperlink"/>
            <w:lang w:eastAsia="ja-JP"/>
          </w:rPr>
          <w:t>Best practice consultation, Office of Best Practice Regulation</w:t>
        </w:r>
      </w:hyperlink>
      <w:r>
        <w:rPr>
          <w:lang w:eastAsia="ja-JP"/>
        </w:rPr>
        <w:t>, Department of the Prime Minister and Cabinet, Canberra, accessed 4 November 2022.</w:t>
      </w:r>
    </w:p>
    <w:p w14:paraId="6D9209FB" w14:textId="3B7F64C1" w:rsidR="005254BF" w:rsidRDefault="005254BF" w:rsidP="005254BF">
      <w:pPr>
        <w:rPr>
          <w:lang w:eastAsia="ja-JP"/>
        </w:rPr>
      </w:pPr>
      <w:r>
        <w:rPr>
          <w:lang w:eastAsia="ja-JP"/>
        </w:rPr>
        <w:t>RSPCA 2022,</w:t>
      </w:r>
      <w:r w:rsidRPr="005254BF">
        <w:t xml:space="preserve"> </w:t>
      </w:r>
      <w:r>
        <w:rPr>
          <w:lang w:eastAsia="ja-JP"/>
        </w:rPr>
        <w:t>Submission to the Inspector-General of Live Animal Exports review, Royal Society for the Prevention of Cruelty to Animals, Canberra, December.</w:t>
      </w:r>
    </w:p>
    <w:p w14:paraId="1EF1CB21" w14:textId="77777777" w:rsidR="009B334E" w:rsidRDefault="009B334E" w:rsidP="009B334E">
      <w:pPr>
        <w:rPr>
          <w:lang w:eastAsia="ja-JP"/>
        </w:rPr>
      </w:pPr>
      <w:r>
        <w:rPr>
          <w:lang w:eastAsia="ja-JP"/>
        </w:rPr>
        <w:t>VALE 2022,</w:t>
      </w:r>
      <w:r w:rsidRPr="005254BF">
        <w:t xml:space="preserve"> </w:t>
      </w:r>
      <w:r>
        <w:rPr>
          <w:lang w:eastAsia="ja-JP"/>
        </w:rPr>
        <w:t>Submission to the Inspector-General of Live Animal Exports review, Vets Against Livestock Export, Canberra, December.</w:t>
      </w:r>
    </w:p>
    <w:sectPr w:rsidR="009B334E" w:rsidSect="00AC1B58">
      <w:pgSz w:w="11906" w:h="16838"/>
      <w:pgMar w:top="1418" w:right="1418" w:bottom="1276"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DC58" w14:textId="77777777" w:rsidR="0091159F" w:rsidRDefault="0091159F">
      <w:r>
        <w:separator/>
      </w:r>
    </w:p>
    <w:p w14:paraId="2F8BF031" w14:textId="77777777" w:rsidR="0091159F" w:rsidRDefault="0091159F"/>
    <w:p w14:paraId="268A5893" w14:textId="77777777" w:rsidR="0091159F" w:rsidRDefault="0091159F"/>
  </w:endnote>
  <w:endnote w:type="continuationSeparator" w:id="0">
    <w:p w14:paraId="30A53DDF" w14:textId="77777777" w:rsidR="0091159F" w:rsidRDefault="0091159F">
      <w:r>
        <w:continuationSeparator/>
      </w:r>
    </w:p>
    <w:p w14:paraId="4E435B45" w14:textId="77777777" w:rsidR="0091159F" w:rsidRDefault="0091159F"/>
    <w:p w14:paraId="091135F2" w14:textId="77777777" w:rsidR="0091159F" w:rsidRDefault="0091159F"/>
  </w:endnote>
  <w:endnote w:type="continuationNotice" w:id="1">
    <w:p w14:paraId="1C10FE93" w14:textId="77777777" w:rsidR="0091159F" w:rsidRDefault="0091159F">
      <w:pPr>
        <w:pStyle w:val="Footer"/>
      </w:pPr>
    </w:p>
    <w:p w14:paraId="5303102A" w14:textId="77777777" w:rsidR="0091159F" w:rsidRDefault="0091159F"/>
    <w:p w14:paraId="378FEF07" w14:textId="77777777" w:rsidR="0091159F" w:rsidRDefault="00911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7D31" w14:textId="3257CA53" w:rsidR="00D13654" w:rsidRDefault="00D13654">
    <w:pPr>
      <w:pStyle w:val="Footer"/>
    </w:pPr>
    <w:r>
      <w:rPr>
        <w:lang w:val="en"/>
      </w:rPr>
      <w:t>Inspector-General of Live Animal Exports</w:t>
    </w:r>
  </w:p>
  <w:p w14:paraId="4E749CAA" w14:textId="77777777" w:rsidR="00D13654" w:rsidRDefault="00D13654">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C2BE" w14:textId="77777777" w:rsidR="0091159F" w:rsidRDefault="0091159F">
      <w:r>
        <w:separator/>
      </w:r>
    </w:p>
    <w:p w14:paraId="397DB0FD" w14:textId="77777777" w:rsidR="0091159F" w:rsidRDefault="0091159F"/>
    <w:p w14:paraId="25FBBC11" w14:textId="77777777" w:rsidR="0091159F" w:rsidRDefault="0091159F"/>
  </w:footnote>
  <w:footnote w:type="continuationSeparator" w:id="0">
    <w:p w14:paraId="28F1587D" w14:textId="77777777" w:rsidR="0091159F" w:rsidRDefault="0091159F">
      <w:r>
        <w:continuationSeparator/>
      </w:r>
    </w:p>
    <w:p w14:paraId="4DDC84DB" w14:textId="77777777" w:rsidR="0091159F" w:rsidRDefault="0091159F"/>
    <w:p w14:paraId="1FE1B069" w14:textId="77777777" w:rsidR="0091159F" w:rsidRDefault="0091159F"/>
  </w:footnote>
  <w:footnote w:type="continuationNotice" w:id="1">
    <w:p w14:paraId="2432E724" w14:textId="77777777" w:rsidR="0091159F" w:rsidRDefault="0091159F">
      <w:pPr>
        <w:pStyle w:val="Footer"/>
      </w:pPr>
    </w:p>
    <w:p w14:paraId="4FDA269F" w14:textId="77777777" w:rsidR="0091159F" w:rsidRDefault="0091159F"/>
    <w:p w14:paraId="7F0873BB" w14:textId="77777777" w:rsidR="0091159F" w:rsidRDefault="009115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E368" w14:textId="5E5D7863" w:rsidR="00D13654" w:rsidRDefault="00D13654">
    <w:pPr>
      <w:pStyle w:val="Header"/>
    </w:pPr>
    <w:r>
      <w:rPr>
        <w:noProof/>
        <w:lang w:val="en-US"/>
      </w:rPr>
      <w:t xml:space="preserve">Communication and engagement in livestock export regulaton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36B0" w14:textId="0471CABC" w:rsidR="00D13654" w:rsidRDefault="00F32311">
    <w:pPr>
      <w:pStyle w:val="Header"/>
      <w:jc w:val="left"/>
    </w:pPr>
    <w:r w:rsidRPr="0039092C">
      <w:rPr>
        <w:noProof/>
        <w:lang w:eastAsia="en-AU"/>
      </w:rPr>
      <w:drawing>
        <wp:inline distT="0" distB="0" distL="0" distR="0" wp14:anchorId="1C7B2F91" wp14:editId="0C60191F">
          <wp:extent cx="3200400" cy="64008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373436C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C14ACC6"/>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89F77F4"/>
    <w:multiLevelType w:val="hybridMultilevel"/>
    <w:tmpl w:val="79008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4E2512"/>
    <w:multiLevelType w:val="hybridMultilevel"/>
    <w:tmpl w:val="4D04F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BB0D77"/>
    <w:multiLevelType w:val="hybridMultilevel"/>
    <w:tmpl w:val="6C08F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78576EE"/>
    <w:multiLevelType w:val="hybridMultilevel"/>
    <w:tmpl w:val="B324F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86"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87D8C"/>
    <w:multiLevelType w:val="hybridMultilevel"/>
    <w:tmpl w:val="6428A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A328D5"/>
    <w:multiLevelType w:val="multilevel"/>
    <w:tmpl w:val="BE78A4F8"/>
    <w:numStyleLink w:val="Numberlist"/>
  </w:abstractNum>
  <w:abstractNum w:abstractNumId="1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2577E5F"/>
    <w:multiLevelType w:val="hybridMultilevel"/>
    <w:tmpl w:val="DFBA99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94A15FE"/>
    <w:multiLevelType w:val="multilevel"/>
    <w:tmpl w:val="F0021E56"/>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D6F1CC8"/>
    <w:multiLevelType w:val="hybridMultilevel"/>
    <w:tmpl w:val="BAF28C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4F4729"/>
    <w:multiLevelType w:val="multilevel"/>
    <w:tmpl w:val="A0241B28"/>
    <w:numStyleLink w:val="List1"/>
  </w:abstractNum>
  <w:abstractNum w:abstractNumId="23" w15:restartNumberingAfterBreak="0">
    <w:nsid w:val="45EF2EA7"/>
    <w:multiLevelType w:val="hybridMultilevel"/>
    <w:tmpl w:val="EE225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6800B4"/>
    <w:multiLevelType w:val="multilevel"/>
    <w:tmpl w:val="A0241B28"/>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BE78A4F8"/>
    <w:numStyleLink w:val="Numberlist"/>
  </w:abstractNum>
  <w:abstractNum w:abstractNumId="27" w15:restartNumberingAfterBreak="0">
    <w:nsid w:val="4AD91AEB"/>
    <w:multiLevelType w:val="hybridMultilevel"/>
    <w:tmpl w:val="9694172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63F3230C"/>
    <w:multiLevelType w:val="multilevel"/>
    <w:tmpl w:val="9A6208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C2B24"/>
    <w:multiLevelType w:val="hybridMultilevel"/>
    <w:tmpl w:val="84D45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C10A1"/>
    <w:multiLevelType w:val="multilevel"/>
    <w:tmpl w:val="BE78A4F8"/>
    <w:numStyleLink w:val="Numberlist"/>
  </w:abstractNum>
  <w:abstractNum w:abstractNumId="37" w15:restartNumberingAfterBreak="0">
    <w:nsid w:val="733934B7"/>
    <w:multiLevelType w:val="multilevel"/>
    <w:tmpl w:val="A0241B28"/>
    <w:numStyleLink w:val="List1"/>
  </w:abstractNum>
  <w:num w:numId="1" w16cid:durableId="1798798920">
    <w:abstractNumId w:val="6"/>
  </w:num>
  <w:num w:numId="2" w16cid:durableId="25180780">
    <w:abstractNumId w:val="24"/>
  </w:num>
  <w:num w:numId="3" w16cid:durableId="649291544">
    <w:abstractNumId w:val="25"/>
  </w:num>
  <w:num w:numId="4" w16cid:durableId="1681661909">
    <w:abstractNumId w:val="13"/>
  </w:num>
  <w:num w:numId="5" w16cid:durableId="1314526669">
    <w:abstractNumId w:val="31"/>
  </w:num>
  <w:num w:numId="6" w16cid:durableId="1660190335">
    <w:abstractNumId w:val="32"/>
  </w:num>
  <w:num w:numId="7" w16cid:durableId="1993826064">
    <w:abstractNumId w:val="8"/>
  </w:num>
  <w:num w:numId="8" w16cid:durableId="36241905">
    <w:abstractNumId w:val="17"/>
  </w:num>
  <w:num w:numId="9" w16cid:durableId="1820658133">
    <w:abstractNumId w:val="20"/>
  </w:num>
  <w:num w:numId="10" w16cid:durableId="1903829292">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9255406">
    <w:abstractNumId w:val="5"/>
  </w:num>
  <w:num w:numId="12" w16cid:durableId="997685904">
    <w:abstractNumId w:val="4"/>
  </w:num>
  <w:num w:numId="13" w16cid:durableId="741879089">
    <w:abstractNumId w:val="3"/>
  </w:num>
  <w:num w:numId="14" w16cid:durableId="1818376597">
    <w:abstractNumId w:val="2"/>
  </w:num>
  <w:num w:numId="15" w16cid:durableId="1045060673">
    <w:abstractNumId w:val="14"/>
  </w:num>
  <w:num w:numId="16" w16cid:durableId="805661199">
    <w:abstractNumId w:val="29"/>
  </w:num>
  <w:num w:numId="17" w16cid:durableId="155927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5126726">
    <w:abstractNumId w:val="34"/>
  </w:num>
  <w:num w:numId="19" w16cid:durableId="1783647624">
    <w:abstractNumId w:val="1"/>
  </w:num>
  <w:num w:numId="20" w16cid:durableId="38945131">
    <w:abstractNumId w:val="0"/>
  </w:num>
  <w:num w:numId="21" w16cid:durableId="362752422">
    <w:abstractNumId w:val="18"/>
  </w:num>
  <w:num w:numId="22" w16cid:durableId="168302119">
    <w:abstractNumId w:val="26"/>
  </w:num>
  <w:num w:numId="23" w16cid:durableId="1522280428">
    <w:abstractNumId w:val="36"/>
  </w:num>
  <w:num w:numId="24" w16cid:durableId="1197044781">
    <w:abstractNumId w:val="16"/>
  </w:num>
  <w:num w:numId="25" w16cid:durableId="1764455614">
    <w:abstractNumId w:val="22"/>
  </w:num>
  <w:num w:numId="26" w16cid:durableId="986055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764890">
    <w:abstractNumId w:val="37"/>
  </w:num>
  <w:num w:numId="28" w16cid:durableId="1102610100">
    <w:abstractNumId w:val="28"/>
  </w:num>
  <w:num w:numId="29" w16cid:durableId="1028608885">
    <w:abstractNumId w:val="30"/>
  </w:num>
  <w:num w:numId="30" w16cid:durableId="88888175">
    <w:abstractNumId w:val="11"/>
  </w:num>
  <w:num w:numId="31" w16cid:durableId="987439028">
    <w:abstractNumId w:val="21"/>
  </w:num>
  <w:num w:numId="32" w16cid:durableId="514685344">
    <w:abstractNumId w:val="33"/>
  </w:num>
  <w:num w:numId="33" w16cid:durableId="391195610">
    <w:abstractNumId w:val="27"/>
  </w:num>
  <w:num w:numId="34" w16cid:durableId="1893997828">
    <w:abstractNumId w:val="7"/>
  </w:num>
  <w:num w:numId="35" w16cid:durableId="1905873250">
    <w:abstractNumId w:val="9"/>
  </w:num>
  <w:num w:numId="36" w16cid:durableId="69429675">
    <w:abstractNumId w:val="12"/>
  </w:num>
  <w:num w:numId="37" w16cid:durableId="11218020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4127891">
    <w:abstractNumId w:val="31"/>
  </w:num>
  <w:num w:numId="39" w16cid:durableId="584194241">
    <w:abstractNumId w:val="31"/>
  </w:num>
  <w:num w:numId="40" w16cid:durableId="2130971813">
    <w:abstractNumId w:val="31"/>
  </w:num>
  <w:num w:numId="41" w16cid:durableId="647327085">
    <w:abstractNumId w:val="19"/>
  </w:num>
  <w:num w:numId="42" w16cid:durableId="988830681">
    <w:abstractNumId w:val="10"/>
  </w:num>
  <w:num w:numId="43" w16cid:durableId="950936936">
    <w:abstractNumId w:val="23"/>
  </w:num>
  <w:num w:numId="44" w16cid:durableId="1346201950">
    <w:abstractNumId w:val="35"/>
  </w:num>
  <w:num w:numId="45" w16cid:durableId="2049329416">
    <w:abstractNumId w:val="15"/>
  </w:num>
  <w:num w:numId="46" w16cid:durableId="10556626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1A"/>
    <w:rsid w:val="000004AD"/>
    <w:rsid w:val="0000156D"/>
    <w:rsid w:val="0000301E"/>
    <w:rsid w:val="000037FB"/>
    <w:rsid w:val="00003809"/>
    <w:rsid w:val="00004A20"/>
    <w:rsid w:val="00005146"/>
    <w:rsid w:val="000070E8"/>
    <w:rsid w:val="0001173E"/>
    <w:rsid w:val="00014519"/>
    <w:rsid w:val="00014D95"/>
    <w:rsid w:val="00016D50"/>
    <w:rsid w:val="000203EA"/>
    <w:rsid w:val="0002041C"/>
    <w:rsid w:val="000218A7"/>
    <w:rsid w:val="00021FB9"/>
    <w:rsid w:val="00024009"/>
    <w:rsid w:val="00024E3B"/>
    <w:rsid w:val="00024E43"/>
    <w:rsid w:val="00026016"/>
    <w:rsid w:val="00026FA7"/>
    <w:rsid w:val="000307ED"/>
    <w:rsid w:val="00030D3E"/>
    <w:rsid w:val="000312E2"/>
    <w:rsid w:val="00031CB3"/>
    <w:rsid w:val="00032499"/>
    <w:rsid w:val="00032E72"/>
    <w:rsid w:val="000331A2"/>
    <w:rsid w:val="0003365B"/>
    <w:rsid w:val="00034B88"/>
    <w:rsid w:val="000355F9"/>
    <w:rsid w:val="00035709"/>
    <w:rsid w:val="00036743"/>
    <w:rsid w:val="00037C02"/>
    <w:rsid w:val="00037F80"/>
    <w:rsid w:val="0004147A"/>
    <w:rsid w:val="00041AE1"/>
    <w:rsid w:val="00043269"/>
    <w:rsid w:val="00043F2E"/>
    <w:rsid w:val="0004554C"/>
    <w:rsid w:val="00050DF6"/>
    <w:rsid w:val="000517E6"/>
    <w:rsid w:val="00053DFC"/>
    <w:rsid w:val="00053EDF"/>
    <w:rsid w:val="0005448E"/>
    <w:rsid w:val="00056FF7"/>
    <w:rsid w:val="000579B4"/>
    <w:rsid w:val="00062EA5"/>
    <w:rsid w:val="000639E2"/>
    <w:rsid w:val="00067680"/>
    <w:rsid w:val="000704C4"/>
    <w:rsid w:val="00071769"/>
    <w:rsid w:val="00072CC3"/>
    <w:rsid w:val="00074E59"/>
    <w:rsid w:val="00075962"/>
    <w:rsid w:val="00083A60"/>
    <w:rsid w:val="0008465E"/>
    <w:rsid w:val="00085C42"/>
    <w:rsid w:val="00085FFC"/>
    <w:rsid w:val="00090EF7"/>
    <w:rsid w:val="00090FDD"/>
    <w:rsid w:val="000920B0"/>
    <w:rsid w:val="00093248"/>
    <w:rsid w:val="00095B05"/>
    <w:rsid w:val="00097251"/>
    <w:rsid w:val="00097B13"/>
    <w:rsid w:val="000A0093"/>
    <w:rsid w:val="000A2F35"/>
    <w:rsid w:val="000A3596"/>
    <w:rsid w:val="000A521C"/>
    <w:rsid w:val="000B01A6"/>
    <w:rsid w:val="000B36C6"/>
    <w:rsid w:val="000B4B94"/>
    <w:rsid w:val="000B60F7"/>
    <w:rsid w:val="000B6981"/>
    <w:rsid w:val="000B6BCA"/>
    <w:rsid w:val="000B7676"/>
    <w:rsid w:val="000B7EF5"/>
    <w:rsid w:val="000C112C"/>
    <w:rsid w:val="000C1EB6"/>
    <w:rsid w:val="000C3432"/>
    <w:rsid w:val="000C48C9"/>
    <w:rsid w:val="000C627C"/>
    <w:rsid w:val="000C7A70"/>
    <w:rsid w:val="000C7ACE"/>
    <w:rsid w:val="000C7D72"/>
    <w:rsid w:val="000D03A2"/>
    <w:rsid w:val="000D0705"/>
    <w:rsid w:val="000D0B80"/>
    <w:rsid w:val="000D18B3"/>
    <w:rsid w:val="000D1DD5"/>
    <w:rsid w:val="000D3B04"/>
    <w:rsid w:val="000D3F53"/>
    <w:rsid w:val="000D47A4"/>
    <w:rsid w:val="000D56A9"/>
    <w:rsid w:val="000D6CB7"/>
    <w:rsid w:val="000D7A25"/>
    <w:rsid w:val="000D7BF2"/>
    <w:rsid w:val="000E08B3"/>
    <w:rsid w:val="000E394E"/>
    <w:rsid w:val="000E402A"/>
    <w:rsid w:val="000E45FC"/>
    <w:rsid w:val="000E4C27"/>
    <w:rsid w:val="000E54DD"/>
    <w:rsid w:val="000E57AD"/>
    <w:rsid w:val="000E619E"/>
    <w:rsid w:val="000E650F"/>
    <w:rsid w:val="000E68B6"/>
    <w:rsid w:val="000E6BB4"/>
    <w:rsid w:val="000E79C7"/>
    <w:rsid w:val="000F1E11"/>
    <w:rsid w:val="000F300C"/>
    <w:rsid w:val="000F3F49"/>
    <w:rsid w:val="000F5B9A"/>
    <w:rsid w:val="000F613A"/>
    <w:rsid w:val="00100641"/>
    <w:rsid w:val="00100B59"/>
    <w:rsid w:val="0010113A"/>
    <w:rsid w:val="001015AF"/>
    <w:rsid w:val="00103380"/>
    <w:rsid w:val="001036CD"/>
    <w:rsid w:val="00103BB1"/>
    <w:rsid w:val="001041E3"/>
    <w:rsid w:val="00105129"/>
    <w:rsid w:val="00106AAC"/>
    <w:rsid w:val="00106B14"/>
    <w:rsid w:val="00107624"/>
    <w:rsid w:val="00110A4F"/>
    <w:rsid w:val="00110E58"/>
    <w:rsid w:val="001118A6"/>
    <w:rsid w:val="00113629"/>
    <w:rsid w:val="00116590"/>
    <w:rsid w:val="00117BEC"/>
    <w:rsid w:val="0012117D"/>
    <w:rsid w:val="001218F0"/>
    <w:rsid w:val="00121957"/>
    <w:rsid w:val="00121E87"/>
    <w:rsid w:val="0012239D"/>
    <w:rsid w:val="00122BF7"/>
    <w:rsid w:val="001230E5"/>
    <w:rsid w:val="0012314E"/>
    <w:rsid w:val="00123F0A"/>
    <w:rsid w:val="00125557"/>
    <w:rsid w:val="001269AE"/>
    <w:rsid w:val="001273E9"/>
    <w:rsid w:val="00130E79"/>
    <w:rsid w:val="00132263"/>
    <w:rsid w:val="00132F98"/>
    <w:rsid w:val="00134DEC"/>
    <w:rsid w:val="00134F36"/>
    <w:rsid w:val="001356B3"/>
    <w:rsid w:val="00136180"/>
    <w:rsid w:val="00136B64"/>
    <w:rsid w:val="00137356"/>
    <w:rsid w:val="0014045F"/>
    <w:rsid w:val="00141734"/>
    <w:rsid w:val="00143157"/>
    <w:rsid w:val="001438B0"/>
    <w:rsid w:val="00144B8D"/>
    <w:rsid w:val="0014521E"/>
    <w:rsid w:val="001453D0"/>
    <w:rsid w:val="001467FF"/>
    <w:rsid w:val="001472DE"/>
    <w:rsid w:val="00147C06"/>
    <w:rsid w:val="00147D67"/>
    <w:rsid w:val="00154829"/>
    <w:rsid w:val="001549BA"/>
    <w:rsid w:val="0015584C"/>
    <w:rsid w:val="00155EB2"/>
    <w:rsid w:val="00156CDB"/>
    <w:rsid w:val="00162A8E"/>
    <w:rsid w:val="0016491B"/>
    <w:rsid w:val="00167BAF"/>
    <w:rsid w:val="00167EE9"/>
    <w:rsid w:val="00171C99"/>
    <w:rsid w:val="00172AD1"/>
    <w:rsid w:val="00173F54"/>
    <w:rsid w:val="00174B96"/>
    <w:rsid w:val="00174C79"/>
    <w:rsid w:val="00175102"/>
    <w:rsid w:val="0017568E"/>
    <w:rsid w:val="00175E65"/>
    <w:rsid w:val="00177061"/>
    <w:rsid w:val="001828D9"/>
    <w:rsid w:val="00183184"/>
    <w:rsid w:val="001833B2"/>
    <w:rsid w:val="001860A8"/>
    <w:rsid w:val="00193474"/>
    <w:rsid w:val="00195446"/>
    <w:rsid w:val="00197076"/>
    <w:rsid w:val="001976DC"/>
    <w:rsid w:val="001A0B20"/>
    <w:rsid w:val="001A3F5B"/>
    <w:rsid w:val="001A5BE0"/>
    <w:rsid w:val="001A60F4"/>
    <w:rsid w:val="001A683C"/>
    <w:rsid w:val="001A7DEC"/>
    <w:rsid w:val="001B019E"/>
    <w:rsid w:val="001B5127"/>
    <w:rsid w:val="001B5477"/>
    <w:rsid w:val="001B5914"/>
    <w:rsid w:val="001C013C"/>
    <w:rsid w:val="001C0410"/>
    <w:rsid w:val="001C1208"/>
    <w:rsid w:val="001C14B0"/>
    <w:rsid w:val="001C3822"/>
    <w:rsid w:val="001C4250"/>
    <w:rsid w:val="001C635B"/>
    <w:rsid w:val="001D0ACC"/>
    <w:rsid w:val="001D3377"/>
    <w:rsid w:val="001D3623"/>
    <w:rsid w:val="001D51C6"/>
    <w:rsid w:val="001D67D9"/>
    <w:rsid w:val="001D6B14"/>
    <w:rsid w:val="001E1D5E"/>
    <w:rsid w:val="001E212B"/>
    <w:rsid w:val="001E43D6"/>
    <w:rsid w:val="001E7474"/>
    <w:rsid w:val="001E7ADB"/>
    <w:rsid w:val="001E7F18"/>
    <w:rsid w:val="001F0925"/>
    <w:rsid w:val="001F0C33"/>
    <w:rsid w:val="001F2C94"/>
    <w:rsid w:val="001F690F"/>
    <w:rsid w:val="001F6ED1"/>
    <w:rsid w:val="001F7799"/>
    <w:rsid w:val="00200F55"/>
    <w:rsid w:val="00200FD7"/>
    <w:rsid w:val="0020138A"/>
    <w:rsid w:val="00202C08"/>
    <w:rsid w:val="002039B8"/>
    <w:rsid w:val="0020473E"/>
    <w:rsid w:val="00205229"/>
    <w:rsid w:val="00206224"/>
    <w:rsid w:val="002111DB"/>
    <w:rsid w:val="00212AA5"/>
    <w:rsid w:val="00213876"/>
    <w:rsid w:val="0021452C"/>
    <w:rsid w:val="0021659C"/>
    <w:rsid w:val="00217944"/>
    <w:rsid w:val="00220E04"/>
    <w:rsid w:val="00221B3C"/>
    <w:rsid w:val="00221D6D"/>
    <w:rsid w:val="00225237"/>
    <w:rsid w:val="00225A95"/>
    <w:rsid w:val="00225D54"/>
    <w:rsid w:val="002260C1"/>
    <w:rsid w:val="0023138B"/>
    <w:rsid w:val="00232130"/>
    <w:rsid w:val="00232369"/>
    <w:rsid w:val="00235B1E"/>
    <w:rsid w:val="00236095"/>
    <w:rsid w:val="0023672E"/>
    <w:rsid w:val="00236F6C"/>
    <w:rsid w:val="00237D57"/>
    <w:rsid w:val="00240DC8"/>
    <w:rsid w:val="002418A6"/>
    <w:rsid w:val="002422BA"/>
    <w:rsid w:val="002428CD"/>
    <w:rsid w:val="00244FA4"/>
    <w:rsid w:val="002460B6"/>
    <w:rsid w:val="00250658"/>
    <w:rsid w:val="00250ADF"/>
    <w:rsid w:val="002515BB"/>
    <w:rsid w:val="00254A77"/>
    <w:rsid w:val="00257AA9"/>
    <w:rsid w:val="00257B4A"/>
    <w:rsid w:val="00263BF2"/>
    <w:rsid w:val="00265BDE"/>
    <w:rsid w:val="00265ED1"/>
    <w:rsid w:val="002706D6"/>
    <w:rsid w:val="00273475"/>
    <w:rsid w:val="002744A6"/>
    <w:rsid w:val="002768BD"/>
    <w:rsid w:val="0028105B"/>
    <w:rsid w:val="002814A9"/>
    <w:rsid w:val="00281D8C"/>
    <w:rsid w:val="0028334D"/>
    <w:rsid w:val="00284499"/>
    <w:rsid w:val="0028599E"/>
    <w:rsid w:val="00285FF6"/>
    <w:rsid w:val="002869CF"/>
    <w:rsid w:val="00286C26"/>
    <w:rsid w:val="00293FC7"/>
    <w:rsid w:val="00297F53"/>
    <w:rsid w:val="002A37C6"/>
    <w:rsid w:val="002A3A4C"/>
    <w:rsid w:val="002B3970"/>
    <w:rsid w:val="002B3B23"/>
    <w:rsid w:val="002B44B1"/>
    <w:rsid w:val="002B48B5"/>
    <w:rsid w:val="002B6654"/>
    <w:rsid w:val="002B731B"/>
    <w:rsid w:val="002B7443"/>
    <w:rsid w:val="002C3ACA"/>
    <w:rsid w:val="002C56CD"/>
    <w:rsid w:val="002C77A2"/>
    <w:rsid w:val="002D0E53"/>
    <w:rsid w:val="002D129D"/>
    <w:rsid w:val="002D17F5"/>
    <w:rsid w:val="002D24ED"/>
    <w:rsid w:val="002D40EA"/>
    <w:rsid w:val="002D4104"/>
    <w:rsid w:val="002D4985"/>
    <w:rsid w:val="002E3194"/>
    <w:rsid w:val="002E6786"/>
    <w:rsid w:val="002E782A"/>
    <w:rsid w:val="002E7C1C"/>
    <w:rsid w:val="002F14A0"/>
    <w:rsid w:val="002F322C"/>
    <w:rsid w:val="002F3E01"/>
    <w:rsid w:val="002F4365"/>
    <w:rsid w:val="002F4BD2"/>
    <w:rsid w:val="002F4D8C"/>
    <w:rsid w:val="002F50B3"/>
    <w:rsid w:val="002F632B"/>
    <w:rsid w:val="002F76FB"/>
    <w:rsid w:val="002F7B4B"/>
    <w:rsid w:val="003000F6"/>
    <w:rsid w:val="00300602"/>
    <w:rsid w:val="00300A71"/>
    <w:rsid w:val="0030303F"/>
    <w:rsid w:val="0030542A"/>
    <w:rsid w:val="003056AD"/>
    <w:rsid w:val="00305B64"/>
    <w:rsid w:val="00305BDA"/>
    <w:rsid w:val="00306287"/>
    <w:rsid w:val="00307CB5"/>
    <w:rsid w:val="00311147"/>
    <w:rsid w:val="003116B6"/>
    <w:rsid w:val="00311D5F"/>
    <w:rsid w:val="00312F15"/>
    <w:rsid w:val="003133DB"/>
    <w:rsid w:val="00314B8E"/>
    <w:rsid w:val="00314D45"/>
    <w:rsid w:val="00315037"/>
    <w:rsid w:val="0031525D"/>
    <w:rsid w:val="00316568"/>
    <w:rsid w:val="00317764"/>
    <w:rsid w:val="00320313"/>
    <w:rsid w:val="003203C8"/>
    <w:rsid w:val="00320A32"/>
    <w:rsid w:val="00321BE4"/>
    <w:rsid w:val="003233AB"/>
    <w:rsid w:val="003234E4"/>
    <w:rsid w:val="003238B4"/>
    <w:rsid w:val="00323ECD"/>
    <w:rsid w:val="00325356"/>
    <w:rsid w:val="0032548A"/>
    <w:rsid w:val="00326044"/>
    <w:rsid w:val="0032761D"/>
    <w:rsid w:val="00327C73"/>
    <w:rsid w:val="003300BB"/>
    <w:rsid w:val="00330C6D"/>
    <w:rsid w:val="00331C70"/>
    <w:rsid w:val="0033256E"/>
    <w:rsid w:val="003359A2"/>
    <w:rsid w:val="00336195"/>
    <w:rsid w:val="00336424"/>
    <w:rsid w:val="0033751F"/>
    <w:rsid w:val="0033788B"/>
    <w:rsid w:val="00340FF9"/>
    <w:rsid w:val="00341668"/>
    <w:rsid w:val="003419E0"/>
    <w:rsid w:val="00341C86"/>
    <w:rsid w:val="00343F06"/>
    <w:rsid w:val="003446F5"/>
    <w:rsid w:val="00344AFC"/>
    <w:rsid w:val="00347A9F"/>
    <w:rsid w:val="003503D6"/>
    <w:rsid w:val="00350C74"/>
    <w:rsid w:val="00353AC9"/>
    <w:rsid w:val="00355D50"/>
    <w:rsid w:val="00356D1C"/>
    <w:rsid w:val="003576DF"/>
    <w:rsid w:val="00360385"/>
    <w:rsid w:val="00362DF2"/>
    <w:rsid w:val="003631D2"/>
    <w:rsid w:val="00365393"/>
    <w:rsid w:val="00365EF5"/>
    <w:rsid w:val="0036682E"/>
    <w:rsid w:val="00367640"/>
    <w:rsid w:val="00367647"/>
    <w:rsid w:val="00367663"/>
    <w:rsid w:val="003679B6"/>
    <w:rsid w:val="00370178"/>
    <w:rsid w:val="003709F0"/>
    <w:rsid w:val="00373C78"/>
    <w:rsid w:val="00374138"/>
    <w:rsid w:val="0037444D"/>
    <w:rsid w:val="00376356"/>
    <w:rsid w:val="003815CC"/>
    <w:rsid w:val="0038162D"/>
    <w:rsid w:val="00381EBA"/>
    <w:rsid w:val="003829B1"/>
    <w:rsid w:val="00382C3A"/>
    <w:rsid w:val="003838BE"/>
    <w:rsid w:val="00386EA4"/>
    <w:rsid w:val="003878D2"/>
    <w:rsid w:val="003908A4"/>
    <w:rsid w:val="003909E3"/>
    <w:rsid w:val="003929BA"/>
    <w:rsid w:val="003949E1"/>
    <w:rsid w:val="00397A3F"/>
    <w:rsid w:val="003A24AC"/>
    <w:rsid w:val="003A3DF5"/>
    <w:rsid w:val="003A4370"/>
    <w:rsid w:val="003A4AD9"/>
    <w:rsid w:val="003A5423"/>
    <w:rsid w:val="003A6993"/>
    <w:rsid w:val="003A6FBD"/>
    <w:rsid w:val="003B448E"/>
    <w:rsid w:val="003B4FCC"/>
    <w:rsid w:val="003B5840"/>
    <w:rsid w:val="003B5B24"/>
    <w:rsid w:val="003B5F8C"/>
    <w:rsid w:val="003B6DDA"/>
    <w:rsid w:val="003B705C"/>
    <w:rsid w:val="003C0666"/>
    <w:rsid w:val="003C12D3"/>
    <w:rsid w:val="003C27C5"/>
    <w:rsid w:val="003C4519"/>
    <w:rsid w:val="003C5118"/>
    <w:rsid w:val="003C6061"/>
    <w:rsid w:val="003C6459"/>
    <w:rsid w:val="003C6BDB"/>
    <w:rsid w:val="003D2657"/>
    <w:rsid w:val="003D404A"/>
    <w:rsid w:val="003E0E1F"/>
    <w:rsid w:val="003E3A3E"/>
    <w:rsid w:val="003E56DE"/>
    <w:rsid w:val="003E6458"/>
    <w:rsid w:val="003E7020"/>
    <w:rsid w:val="003E790A"/>
    <w:rsid w:val="003F003A"/>
    <w:rsid w:val="003F026D"/>
    <w:rsid w:val="003F1FC4"/>
    <w:rsid w:val="003F27A9"/>
    <w:rsid w:val="003F6026"/>
    <w:rsid w:val="00400538"/>
    <w:rsid w:val="004005F9"/>
    <w:rsid w:val="00401422"/>
    <w:rsid w:val="00402EEB"/>
    <w:rsid w:val="00402F2F"/>
    <w:rsid w:val="00402F82"/>
    <w:rsid w:val="00405B32"/>
    <w:rsid w:val="00407205"/>
    <w:rsid w:val="00410F01"/>
    <w:rsid w:val="00411972"/>
    <w:rsid w:val="004128F1"/>
    <w:rsid w:val="00414642"/>
    <w:rsid w:val="00414BAE"/>
    <w:rsid w:val="00415F88"/>
    <w:rsid w:val="00417837"/>
    <w:rsid w:val="00417F5F"/>
    <w:rsid w:val="0042188F"/>
    <w:rsid w:val="00421BB5"/>
    <w:rsid w:val="004307EC"/>
    <w:rsid w:val="00432413"/>
    <w:rsid w:val="00432C22"/>
    <w:rsid w:val="00433016"/>
    <w:rsid w:val="00433BEC"/>
    <w:rsid w:val="004350F9"/>
    <w:rsid w:val="004362DA"/>
    <w:rsid w:val="004368A8"/>
    <w:rsid w:val="00436A79"/>
    <w:rsid w:val="00440127"/>
    <w:rsid w:val="00441A74"/>
    <w:rsid w:val="00443748"/>
    <w:rsid w:val="00444842"/>
    <w:rsid w:val="0044494E"/>
    <w:rsid w:val="00445374"/>
    <w:rsid w:val="00445E0D"/>
    <w:rsid w:val="00450C65"/>
    <w:rsid w:val="00452E4E"/>
    <w:rsid w:val="00453164"/>
    <w:rsid w:val="00453206"/>
    <w:rsid w:val="00454A3B"/>
    <w:rsid w:val="0045524F"/>
    <w:rsid w:val="004555CF"/>
    <w:rsid w:val="00456C74"/>
    <w:rsid w:val="00456CC1"/>
    <w:rsid w:val="004575FD"/>
    <w:rsid w:val="00461942"/>
    <w:rsid w:val="00464050"/>
    <w:rsid w:val="004642AD"/>
    <w:rsid w:val="00464472"/>
    <w:rsid w:val="00465040"/>
    <w:rsid w:val="00470BA6"/>
    <w:rsid w:val="004711CA"/>
    <w:rsid w:val="004712D6"/>
    <w:rsid w:val="00472AFA"/>
    <w:rsid w:val="00473CCB"/>
    <w:rsid w:val="0047406E"/>
    <w:rsid w:val="00474720"/>
    <w:rsid w:val="00474909"/>
    <w:rsid w:val="0047600F"/>
    <w:rsid w:val="00476ACA"/>
    <w:rsid w:val="00476E19"/>
    <w:rsid w:val="00477C97"/>
    <w:rsid w:val="0048035D"/>
    <w:rsid w:val="00485C81"/>
    <w:rsid w:val="00486BF0"/>
    <w:rsid w:val="004916BD"/>
    <w:rsid w:val="00493C19"/>
    <w:rsid w:val="004954C6"/>
    <w:rsid w:val="00495E14"/>
    <w:rsid w:val="00496048"/>
    <w:rsid w:val="00497C57"/>
    <w:rsid w:val="00497E13"/>
    <w:rsid w:val="004A2435"/>
    <w:rsid w:val="004A2469"/>
    <w:rsid w:val="004A3C3E"/>
    <w:rsid w:val="004A496D"/>
    <w:rsid w:val="004A5290"/>
    <w:rsid w:val="004B160D"/>
    <w:rsid w:val="004B2B40"/>
    <w:rsid w:val="004B44B7"/>
    <w:rsid w:val="004B61A2"/>
    <w:rsid w:val="004B762F"/>
    <w:rsid w:val="004C0D69"/>
    <w:rsid w:val="004C1405"/>
    <w:rsid w:val="004C273B"/>
    <w:rsid w:val="004C2C25"/>
    <w:rsid w:val="004C3FCC"/>
    <w:rsid w:val="004C592D"/>
    <w:rsid w:val="004C5EC5"/>
    <w:rsid w:val="004C61A9"/>
    <w:rsid w:val="004D0096"/>
    <w:rsid w:val="004D0AF5"/>
    <w:rsid w:val="004D2078"/>
    <w:rsid w:val="004D4289"/>
    <w:rsid w:val="004D6EB4"/>
    <w:rsid w:val="004E282C"/>
    <w:rsid w:val="004E36E7"/>
    <w:rsid w:val="004E3E49"/>
    <w:rsid w:val="004E526B"/>
    <w:rsid w:val="004E691C"/>
    <w:rsid w:val="004E7AA7"/>
    <w:rsid w:val="004E7C43"/>
    <w:rsid w:val="004F04CC"/>
    <w:rsid w:val="004F140E"/>
    <w:rsid w:val="004F1EF1"/>
    <w:rsid w:val="004F2D89"/>
    <w:rsid w:val="004F2D9F"/>
    <w:rsid w:val="004F4905"/>
    <w:rsid w:val="004F4950"/>
    <w:rsid w:val="004F7DF9"/>
    <w:rsid w:val="00500002"/>
    <w:rsid w:val="00500102"/>
    <w:rsid w:val="00500C64"/>
    <w:rsid w:val="00500FBE"/>
    <w:rsid w:val="0050170D"/>
    <w:rsid w:val="005017A1"/>
    <w:rsid w:val="005031CB"/>
    <w:rsid w:val="0050480C"/>
    <w:rsid w:val="00507E27"/>
    <w:rsid w:val="00514BC1"/>
    <w:rsid w:val="00515998"/>
    <w:rsid w:val="00517097"/>
    <w:rsid w:val="005175DC"/>
    <w:rsid w:val="00520562"/>
    <w:rsid w:val="00520CB3"/>
    <w:rsid w:val="0052237A"/>
    <w:rsid w:val="0052504F"/>
    <w:rsid w:val="005254BF"/>
    <w:rsid w:val="00530D7A"/>
    <w:rsid w:val="0053455F"/>
    <w:rsid w:val="00536F20"/>
    <w:rsid w:val="0053716D"/>
    <w:rsid w:val="00541216"/>
    <w:rsid w:val="005421C4"/>
    <w:rsid w:val="0054406E"/>
    <w:rsid w:val="0054487A"/>
    <w:rsid w:val="00545481"/>
    <w:rsid w:val="00547898"/>
    <w:rsid w:val="005478BA"/>
    <w:rsid w:val="00554309"/>
    <w:rsid w:val="005549AB"/>
    <w:rsid w:val="00556B10"/>
    <w:rsid w:val="00557076"/>
    <w:rsid w:val="00557D52"/>
    <w:rsid w:val="0056036E"/>
    <w:rsid w:val="0056417E"/>
    <w:rsid w:val="00567770"/>
    <w:rsid w:val="00567E0D"/>
    <w:rsid w:val="00570806"/>
    <w:rsid w:val="00572766"/>
    <w:rsid w:val="005728B4"/>
    <w:rsid w:val="00574490"/>
    <w:rsid w:val="00574A75"/>
    <w:rsid w:val="00575309"/>
    <w:rsid w:val="005757FF"/>
    <w:rsid w:val="0057616E"/>
    <w:rsid w:val="00577890"/>
    <w:rsid w:val="00580DB0"/>
    <w:rsid w:val="005840C7"/>
    <w:rsid w:val="00584D19"/>
    <w:rsid w:val="00585434"/>
    <w:rsid w:val="00587A10"/>
    <w:rsid w:val="00590114"/>
    <w:rsid w:val="005905A7"/>
    <w:rsid w:val="00592A2C"/>
    <w:rsid w:val="00594109"/>
    <w:rsid w:val="00595137"/>
    <w:rsid w:val="00596E0C"/>
    <w:rsid w:val="005A0C76"/>
    <w:rsid w:val="005A15E0"/>
    <w:rsid w:val="005A17EB"/>
    <w:rsid w:val="005A3341"/>
    <w:rsid w:val="005A48E3"/>
    <w:rsid w:val="005A6A57"/>
    <w:rsid w:val="005A78D9"/>
    <w:rsid w:val="005B016C"/>
    <w:rsid w:val="005B0419"/>
    <w:rsid w:val="005B18A4"/>
    <w:rsid w:val="005B3EF2"/>
    <w:rsid w:val="005B5935"/>
    <w:rsid w:val="005B7D3D"/>
    <w:rsid w:val="005C0F36"/>
    <w:rsid w:val="005C11A7"/>
    <w:rsid w:val="005C1C08"/>
    <w:rsid w:val="005C200D"/>
    <w:rsid w:val="005C4485"/>
    <w:rsid w:val="005C589A"/>
    <w:rsid w:val="005C64CA"/>
    <w:rsid w:val="005D0729"/>
    <w:rsid w:val="005D09C3"/>
    <w:rsid w:val="005D0D0D"/>
    <w:rsid w:val="005D1519"/>
    <w:rsid w:val="005D3E2C"/>
    <w:rsid w:val="005D5044"/>
    <w:rsid w:val="005E0529"/>
    <w:rsid w:val="005E0814"/>
    <w:rsid w:val="005E12F8"/>
    <w:rsid w:val="005E2CC6"/>
    <w:rsid w:val="005E368E"/>
    <w:rsid w:val="005E4D4F"/>
    <w:rsid w:val="005E6554"/>
    <w:rsid w:val="005E6FBC"/>
    <w:rsid w:val="005F01F2"/>
    <w:rsid w:val="005F298C"/>
    <w:rsid w:val="005F2A76"/>
    <w:rsid w:val="005F342F"/>
    <w:rsid w:val="005F4E43"/>
    <w:rsid w:val="005F55AE"/>
    <w:rsid w:val="005F68EC"/>
    <w:rsid w:val="00602CE4"/>
    <w:rsid w:val="00606542"/>
    <w:rsid w:val="00610916"/>
    <w:rsid w:val="0061265B"/>
    <w:rsid w:val="00614CA9"/>
    <w:rsid w:val="00615243"/>
    <w:rsid w:val="00615256"/>
    <w:rsid w:val="006166A6"/>
    <w:rsid w:val="0061706B"/>
    <w:rsid w:val="00620A3E"/>
    <w:rsid w:val="0062134E"/>
    <w:rsid w:val="00622261"/>
    <w:rsid w:val="00622971"/>
    <w:rsid w:val="0062441F"/>
    <w:rsid w:val="00624C90"/>
    <w:rsid w:val="006251EF"/>
    <w:rsid w:val="006267A9"/>
    <w:rsid w:val="00627E62"/>
    <w:rsid w:val="0063144C"/>
    <w:rsid w:val="00631541"/>
    <w:rsid w:val="00635A31"/>
    <w:rsid w:val="00640353"/>
    <w:rsid w:val="00641CDC"/>
    <w:rsid w:val="00643FAA"/>
    <w:rsid w:val="006452E2"/>
    <w:rsid w:val="00645328"/>
    <w:rsid w:val="00645365"/>
    <w:rsid w:val="00645BE6"/>
    <w:rsid w:val="0064747F"/>
    <w:rsid w:val="006476C3"/>
    <w:rsid w:val="006505EE"/>
    <w:rsid w:val="006506AE"/>
    <w:rsid w:val="00650D35"/>
    <w:rsid w:val="00652DB5"/>
    <w:rsid w:val="006531BF"/>
    <w:rsid w:val="0065401A"/>
    <w:rsid w:val="00655A6E"/>
    <w:rsid w:val="00655C7D"/>
    <w:rsid w:val="00655FB3"/>
    <w:rsid w:val="00657278"/>
    <w:rsid w:val="006615A5"/>
    <w:rsid w:val="00662409"/>
    <w:rsid w:val="00663E29"/>
    <w:rsid w:val="00664252"/>
    <w:rsid w:val="00664C01"/>
    <w:rsid w:val="00665E5C"/>
    <w:rsid w:val="0066676D"/>
    <w:rsid w:val="00670E58"/>
    <w:rsid w:val="0067178A"/>
    <w:rsid w:val="00671A7C"/>
    <w:rsid w:val="00673420"/>
    <w:rsid w:val="0067607B"/>
    <w:rsid w:val="00676B2F"/>
    <w:rsid w:val="00677C65"/>
    <w:rsid w:val="0068007C"/>
    <w:rsid w:val="00680523"/>
    <w:rsid w:val="00681C5D"/>
    <w:rsid w:val="0068205E"/>
    <w:rsid w:val="00683DC1"/>
    <w:rsid w:val="00686B06"/>
    <w:rsid w:val="00687539"/>
    <w:rsid w:val="0069023A"/>
    <w:rsid w:val="006903C8"/>
    <w:rsid w:val="0069091C"/>
    <w:rsid w:val="0069143B"/>
    <w:rsid w:val="006933B4"/>
    <w:rsid w:val="0069384E"/>
    <w:rsid w:val="006969D2"/>
    <w:rsid w:val="00697F77"/>
    <w:rsid w:val="006A3AB1"/>
    <w:rsid w:val="006A3BA8"/>
    <w:rsid w:val="006A3D92"/>
    <w:rsid w:val="006A406B"/>
    <w:rsid w:val="006A4ED2"/>
    <w:rsid w:val="006A5F82"/>
    <w:rsid w:val="006A68A2"/>
    <w:rsid w:val="006A6D26"/>
    <w:rsid w:val="006A798C"/>
    <w:rsid w:val="006B0CBA"/>
    <w:rsid w:val="006B2C22"/>
    <w:rsid w:val="006B42D7"/>
    <w:rsid w:val="006B4C30"/>
    <w:rsid w:val="006B57E6"/>
    <w:rsid w:val="006C0A50"/>
    <w:rsid w:val="006C0EE7"/>
    <w:rsid w:val="006C4BC0"/>
    <w:rsid w:val="006C5513"/>
    <w:rsid w:val="006C5604"/>
    <w:rsid w:val="006C5CDE"/>
    <w:rsid w:val="006C6130"/>
    <w:rsid w:val="006C7089"/>
    <w:rsid w:val="006C784C"/>
    <w:rsid w:val="006D00E7"/>
    <w:rsid w:val="006D09CE"/>
    <w:rsid w:val="006D22D9"/>
    <w:rsid w:val="006D24EB"/>
    <w:rsid w:val="006D2C0A"/>
    <w:rsid w:val="006D37E3"/>
    <w:rsid w:val="006D6C55"/>
    <w:rsid w:val="006D6E04"/>
    <w:rsid w:val="006D7EF1"/>
    <w:rsid w:val="006E1B11"/>
    <w:rsid w:val="006E26CC"/>
    <w:rsid w:val="006E2A7C"/>
    <w:rsid w:val="006E3DC7"/>
    <w:rsid w:val="006E53D9"/>
    <w:rsid w:val="006E7D4C"/>
    <w:rsid w:val="006F1352"/>
    <w:rsid w:val="006F175B"/>
    <w:rsid w:val="006F252F"/>
    <w:rsid w:val="006F3B3E"/>
    <w:rsid w:val="006F4C2F"/>
    <w:rsid w:val="006F69E0"/>
    <w:rsid w:val="0070010E"/>
    <w:rsid w:val="00700DF0"/>
    <w:rsid w:val="00701073"/>
    <w:rsid w:val="007031D0"/>
    <w:rsid w:val="00710BB6"/>
    <w:rsid w:val="007131FF"/>
    <w:rsid w:val="00713DF0"/>
    <w:rsid w:val="00715029"/>
    <w:rsid w:val="00715CB4"/>
    <w:rsid w:val="00717609"/>
    <w:rsid w:val="0072026D"/>
    <w:rsid w:val="00722D38"/>
    <w:rsid w:val="0072353A"/>
    <w:rsid w:val="00724748"/>
    <w:rsid w:val="00725420"/>
    <w:rsid w:val="00725C66"/>
    <w:rsid w:val="007302AA"/>
    <w:rsid w:val="007304FF"/>
    <w:rsid w:val="00731836"/>
    <w:rsid w:val="00731EA5"/>
    <w:rsid w:val="00732326"/>
    <w:rsid w:val="00732CA5"/>
    <w:rsid w:val="00734C6A"/>
    <w:rsid w:val="0073723F"/>
    <w:rsid w:val="0074167F"/>
    <w:rsid w:val="00741A9C"/>
    <w:rsid w:val="00742EDA"/>
    <w:rsid w:val="00743E04"/>
    <w:rsid w:val="00746FC8"/>
    <w:rsid w:val="00747913"/>
    <w:rsid w:val="00747B3F"/>
    <w:rsid w:val="00751C87"/>
    <w:rsid w:val="00753C4A"/>
    <w:rsid w:val="007557E1"/>
    <w:rsid w:val="007558A4"/>
    <w:rsid w:val="00756297"/>
    <w:rsid w:val="00760F3B"/>
    <w:rsid w:val="00761632"/>
    <w:rsid w:val="00761F43"/>
    <w:rsid w:val="00763E7F"/>
    <w:rsid w:val="00764189"/>
    <w:rsid w:val="00765F11"/>
    <w:rsid w:val="00766DF6"/>
    <w:rsid w:val="007670E9"/>
    <w:rsid w:val="007712B0"/>
    <w:rsid w:val="00772307"/>
    <w:rsid w:val="0077257D"/>
    <w:rsid w:val="00774358"/>
    <w:rsid w:val="00774774"/>
    <w:rsid w:val="00774F7D"/>
    <w:rsid w:val="0077638A"/>
    <w:rsid w:val="00777418"/>
    <w:rsid w:val="007805A4"/>
    <w:rsid w:val="00780AF7"/>
    <w:rsid w:val="00780BBE"/>
    <w:rsid w:val="007855C6"/>
    <w:rsid w:val="00785607"/>
    <w:rsid w:val="0078639D"/>
    <w:rsid w:val="007877E1"/>
    <w:rsid w:val="00787D0E"/>
    <w:rsid w:val="00791649"/>
    <w:rsid w:val="00792E9C"/>
    <w:rsid w:val="0079521E"/>
    <w:rsid w:val="0079539B"/>
    <w:rsid w:val="0079551A"/>
    <w:rsid w:val="007963FB"/>
    <w:rsid w:val="007A040D"/>
    <w:rsid w:val="007A102F"/>
    <w:rsid w:val="007A3185"/>
    <w:rsid w:val="007A3D29"/>
    <w:rsid w:val="007A3DFA"/>
    <w:rsid w:val="007A516B"/>
    <w:rsid w:val="007A5D8C"/>
    <w:rsid w:val="007B0C95"/>
    <w:rsid w:val="007B16BB"/>
    <w:rsid w:val="007B1BB0"/>
    <w:rsid w:val="007B2ABC"/>
    <w:rsid w:val="007B2CC0"/>
    <w:rsid w:val="007B6756"/>
    <w:rsid w:val="007C0541"/>
    <w:rsid w:val="007C0827"/>
    <w:rsid w:val="007C2BA6"/>
    <w:rsid w:val="007C456D"/>
    <w:rsid w:val="007C5AEC"/>
    <w:rsid w:val="007C7995"/>
    <w:rsid w:val="007D01E9"/>
    <w:rsid w:val="007D1F6E"/>
    <w:rsid w:val="007D3417"/>
    <w:rsid w:val="007D4B7A"/>
    <w:rsid w:val="007D6794"/>
    <w:rsid w:val="007D7EF7"/>
    <w:rsid w:val="007E1BAB"/>
    <w:rsid w:val="007E55BB"/>
    <w:rsid w:val="007E5BC9"/>
    <w:rsid w:val="007F09A3"/>
    <w:rsid w:val="007F1BDF"/>
    <w:rsid w:val="007F39EC"/>
    <w:rsid w:val="007F78AE"/>
    <w:rsid w:val="0080187C"/>
    <w:rsid w:val="00802F2E"/>
    <w:rsid w:val="008033B2"/>
    <w:rsid w:val="00804201"/>
    <w:rsid w:val="00804520"/>
    <w:rsid w:val="0080540F"/>
    <w:rsid w:val="00806380"/>
    <w:rsid w:val="00811A33"/>
    <w:rsid w:val="008124DA"/>
    <w:rsid w:val="00815F27"/>
    <w:rsid w:val="008235AC"/>
    <w:rsid w:val="00823A0E"/>
    <w:rsid w:val="00825255"/>
    <w:rsid w:val="0082760D"/>
    <w:rsid w:val="00827C94"/>
    <w:rsid w:val="0083060D"/>
    <w:rsid w:val="00830635"/>
    <w:rsid w:val="00831E5B"/>
    <w:rsid w:val="00833029"/>
    <w:rsid w:val="00834969"/>
    <w:rsid w:val="00835428"/>
    <w:rsid w:val="0083685D"/>
    <w:rsid w:val="00836BB7"/>
    <w:rsid w:val="008372E2"/>
    <w:rsid w:val="00837A13"/>
    <w:rsid w:val="00842768"/>
    <w:rsid w:val="0084312E"/>
    <w:rsid w:val="008436BA"/>
    <w:rsid w:val="0084577F"/>
    <w:rsid w:val="0084590F"/>
    <w:rsid w:val="0084683F"/>
    <w:rsid w:val="00847544"/>
    <w:rsid w:val="00847B5F"/>
    <w:rsid w:val="00850327"/>
    <w:rsid w:val="00850452"/>
    <w:rsid w:val="0085127F"/>
    <w:rsid w:val="008526BE"/>
    <w:rsid w:val="008535A0"/>
    <w:rsid w:val="00853BCF"/>
    <w:rsid w:val="00856057"/>
    <w:rsid w:val="008573E1"/>
    <w:rsid w:val="008627F8"/>
    <w:rsid w:val="00863187"/>
    <w:rsid w:val="00863585"/>
    <w:rsid w:val="00864AF6"/>
    <w:rsid w:val="0086541C"/>
    <w:rsid w:val="00866799"/>
    <w:rsid w:val="008669F4"/>
    <w:rsid w:val="00866AD2"/>
    <w:rsid w:val="00867749"/>
    <w:rsid w:val="00867F8F"/>
    <w:rsid w:val="00870674"/>
    <w:rsid w:val="00871AF1"/>
    <w:rsid w:val="00871B50"/>
    <w:rsid w:val="00873F8B"/>
    <w:rsid w:val="00875334"/>
    <w:rsid w:val="00880EB6"/>
    <w:rsid w:val="00881150"/>
    <w:rsid w:val="00882850"/>
    <w:rsid w:val="00885A06"/>
    <w:rsid w:val="008863BC"/>
    <w:rsid w:val="00886A4F"/>
    <w:rsid w:val="008877A9"/>
    <w:rsid w:val="00890850"/>
    <w:rsid w:val="00891626"/>
    <w:rsid w:val="00891CBD"/>
    <w:rsid w:val="008973CD"/>
    <w:rsid w:val="00897E0F"/>
    <w:rsid w:val="008A30DD"/>
    <w:rsid w:val="008A365D"/>
    <w:rsid w:val="008A4D73"/>
    <w:rsid w:val="008A5994"/>
    <w:rsid w:val="008A6616"/>
    <w:rsid w:val="008A701D"/>
    <w:rsid w:val="008B314F"/>
    <w:rsid w:val="008B71DA"/>
    <w:rsid w:val="008B76B5"/>
    <w:rsid w:val="008C0735"/>
    <w:rsid w:val="008C1177"/>
    <w:rsid w:val="008C4FD9"/>
    <w:rsid w:val="008C5709"/>
    <w:rsid w:val="008C6E79"/>
    <w:rsid w:val="008C75F0"/>
    <w:rsid w:val="008C7B96"/>
    <w:rsid w:val="008D0866"/>
    <w:rsid w:val="008D14A2"/>
    <w:rsid w:val="008D1D5F"/>
    <w:rsid w:val="008D3A77"/>
    <w:rsid w:val="008D3D36"/>
    <w:rsid w:val="008D5CAD"/>
    <w:rsid w:val="008E04FA"/>
    <w:rsid w:val="008E1430"/>
    <w:rsid w:val="008E2C16"/>
    <w:rsid w:val="008E3447"/>
    <w:rsid w:val="008E54E5"/>
    <w:rsid w:val="008E747C"/>
    <w:rsid w:val="008F3DE2"/>
    <w:rsid w:val="008F46D4"/>
    <w:rsid w:val="008F4AA3"/>
    <w:rsid w:val="008F4C63"/>
    <w:rsid w:val="008F5744"/>
    <w:rsid w:val="008F5EF5"/>
    <w:rsid w:val="008F6628"/>
    <w:rsid w:val="008F7D8D"/>
    <w:rsid w:val="0090231C"/>
    <w:rsid w:val="00902613"/>
    <w:rsid w:val="00905F02"/>
    <w:rsid w:val="00906D4F"/>
    <w:rsid w:val="00907350"/>
    <w:rsid w:val="00907669"/>
    <w:rsid w:val="0091159F"/>
    <w:rsid w:val="00917DE9"/>
    <w:rsid w:val="009219D8"/>
    <w:rsid w:val="00921EC5"/>
    <w:rsid w:val="00924859"/>
    <w:rsid w:val="009268A0"/>
    <w:rsid w:val="00931545"/>
    <w:rsid w:val="00931785"/>
    <w:rsid w:val="00933CF5"/>
    <w:rsid w:val="00935481"/>
    <w:rsid w:val="00936455"/>
    <w:rsid w:val="00937685"/>
    <w:rsid w:val="00940BC4"/>
    <w:rsid w:val="00940E57"/>
    <w:rsid w:val="00944FBD"/>
    <w:rsid w:val="0094639C"/>
    <w:rsid w:val="00946DC7"/>
    <w:rsid w:val="00950197"/>
    <w:rsid w:val="00950D59"/>
    <w:rsid w:val="009530BB"/>
    <w:rsid w:val="00953ABD"/>
    <w:rsid w:val="0095461E"/>
    <w:rsid w:val="0095650F"/>
    <w:rsid w:val="00961E52"/>
    <w:rsid w:val="0096277D"/>
    <w:rsid w:val="00966EDA"/>
    <w:rsid w:val="00967B64"/>
    <w:rsid w:val="00970831"/>
    <w:rsid w:val="0097176D"/>
    <w:rsid w:val="00971D3F"/>
    <w:rsid w:val="00974C3C"/>
    <w:rsid w:val="009752B3"/>
    <w:rsid w:val="0097767F"/>
    <w:rsid w:val="00980B0A"/>
    <w:rsid w:val="00983B93"/>
    <w:rsid w:val="00984FD2"/>
    <w:rsid w:val="00985569"/>
    <w:rsid w:val="009866F5"/>
    <w:rsid w:val="009868E2"/>
    <w:rsid w:val="009905D0"/>
    <w:rsid w:val="0099155A"/>
    <w:rsid w:val="009922D3"/>
    <w:rsid w:val="0099323A"/>
    <w:rsid w:val="00995ADC"/>
    <w:rsid w:val="00997109"/>
    <w:rsid w:val="009A0095"/>
    <w:rsid w:val="009A2859"/>
    <w:rsid w:val="009A4A38"/>
    <w:rsid w:val="009A517A"/>
    <w:rsid w:val="009A6A3C"/>
    <w:rsid w:val="009B173C"/>
    <w:rsid w:val="009B2EB9"/>
    <w:rsid w:val="009B334E"/>
    <w:rsid w:val="009B5332"/>
    <w:rsid w:val="009B643C"/>
    <w:rsid w:val="009B65D0"/>
    <w:rsid w:val="009C2CAB"/>
    <w:rsid w:val="009C3220"/>
    <w:rsid w:val="009C35AB"/>
    <w:rsid w:val="009C43D9"/>
    <w:rsid w:val="009C5476"/>
    <w:rsid w:val="009C7E87"/>
    <w:rsid w:val="009D4130"/>
    <w:rsid w:val="009D4409"/>
    <w:rsid w:val="009D58FB"/>
    <w:rsid w:val="009D7299"/>
    <w:rsid w:val="009D73A6"/>
    <w:rsid w:val="009D7F82"/>
    <w:rsid w:val="009E0A16"/>
    <w:rsid w:val="009E1D21"/>
    <w:rsid w:val="009E71DC"/>
    <w:rsid w:val="009E7527"/>
    <w:rsid w:val="009F0D17"/>
    <w:rsid w:val="009F1B3F"/>
    <w:rsid w:val="009F2E49"/>
    <w:rsid w:val="009F3720"/>
    <w:rsid w:val="009F5CD4"/>
    <w:rsid w:val="00A00BC8"/>
    <w:rsid w:val="00A0101B"/>
    <w:rsid w:val="00A01ECD"/>
    <w:rsid w:val="00A0219A"/>
    <w:rsid w:val="00A03532"/>
    <w:rsid w:val="00A10343"/>
    <w:rsid w:val="00A124AF"/>
    <w:rsid w:val="00A14856"/>
    <w:rsid w:val="00A14D14"/>
    <w:rsid w:val="00A165A5"/>
    <w:rsid w:val="00A16D4B"/>
    <w:rsid w:val="00A2062A"/>
    <w:rsid w:val="00A22528"/>
    <w:rsid w:val="00A23665"/>
    <w:rsid w:val="00A2418A"/>
    <w:rsid w:val="00A24518"/>
    <w:rsid w:val="00A24999"/>
    <w:rsid w:val="00A26C93"/>
    <w:rsid w:val="00A273E6"/>
    <w:rsid w:val="00A2741A"/>
    <w:rsid w:val="00A302DE"/>
    <w:rsid w:val="00A30AA8"/>
    <w:rsid w:val="00A30DC7"/>
    <w:rsid w:val="00A32A73"/>
    <w:rsid w:val="00A32F30"/>
    <w:rsid w:val="00A406F9"/>
    <w:rsid w:val="00A4259F"/>
    <w:rsid w:val="00A43C22"/>
    <w:rsid w:val="00A45CC6"/>
    <w:rsid w:val="00A46039"/>
    <w:rsid w:val="00A463CA"/>
    <w:rsid w:val="00A46C7C"/>
    <w:rsid w:val="00A512C6"/>
    <w:rsid w:val="00A5222F"/>
    <w:rsid w:val="00A539B2"/>
    <w:rsid w:val="00A54E18"/>
    <w:rsid w:val="00A6098A"/>
    <w:rsid w:val="00A62B6C"/>
    <w:rsid w:val="00A63592"/>
    <w:rsid w:val="00A64441"/>
    <w:rsid w:val="00A64FE8"/>
    <w:rsid w:val="00A70240"/>
    <w:rsid w:val="00A71237"/>
    <w:rsid w:val="00A71914"/>
    <w:rsid w:val="00A72704"/>
    <w:rsid w:val="00A734F5"/>
    <w:rsid w:val="00A75D8A"/>
    <w:rsid w:val="00A75DAE"/>
    <w:rsid w:val="00A76114"/>
    <w:rsid w:val="00A82E83"/>
    <w:rsid w:val="00A8540F"/>
    <w:rsid w:val="00A85A2A"/>
    <w:rsid w:val="00A91785"/>
    <w:rsid w:val="00A93146"/>
    <w:rsid w:val="00A93288"/>
    <w:rsid w:val="00A93B63"/>
    <w:rsid w:val="00A946FA"/>
    <w:rsid w:val="00A94BC3"/>
    <w:rsid w:val="00A94D4B"/>
    <w:rsid w:val="00A97379"/>
    <w:rsid w:val="00A97A6E"/>
    <w:rsid w:val="00AA0E23"/>
    <w:rsid w:val="00AA3AC0"/>
    <w:rsid w:val="00AA4A50"/>
    <w:rsid w:val="00AA4A91"/>
    <w:rsid w:val="00AA56C1"/>
    <w:rsid w:val="00AA5D09"/>
    <w:rsid w:val="00AA5ED9"/>
    <w:rsid w:val="00AA646D"/>
    <w:rsid w:val="00AA76F3"/>
    <w:rsid w:val="00AB029E"/>
    <w:rsid w:val="00AB0410"/>
    <w:rsid w:val="00AB045A"/>
    <w:rsid w:val="00AB3125"/>
    <w:rsid w:val="00AB3422"/>
    <w:rsid w:val="00AB3A37"/>
    <w:rsid w:val="00AB500A"/>
    <w:rsid w:val="00AB7098"/>
    <w:rsid w:val="00AB76DF"/>
    <w:rsid w:val="00AC18E0"/>
    <w:rsid w:val="00AC1B58"/>
    <w:rsid w:val="00AC24E6"/>
    <w:rsid w:val="00AC451C"/>
    <w:rsid w:val="00AC5B3B"/>
    <w:rsid w:val="00AD0253"/>
    <w:rsid w:val="00AD41C6"/>
    <w:rsid w:val="00AE02CF"/>
    <w:rsid w:val="00AE1B54"/>
    <w:rsid w:val="00AE1CA5"/>
    <w:rsid w:val="00AE60B2"/>
    <w:rsid w:val="00AE60CF"/>
    <w:rsid w:val="00AF0E2C"/>
    <w:rsid w:val="00AF1786"/>
    <w:rsid w:val="00AF1CEE"/>
    <w:rsid w:val="00AF2902"/>
    <w:rsid w:val="00AF4FAE"/>
    <w:rsid w:val="00AF5986"/>
    <w:rsid w:val="00AF5C9F"/>
    <w:rsid w:val="00AF5FED"/>
    <w:rsid w:val="00AF7350"/>
    <w:rsid w:val="00B011EF"/>
    <w:rsid w:val="00B01907"/>
    <w:rsid w:val="00B0229B"/>
    <w:rsid w:val="00B02E2B"/>
    <w:rsid w:val="00B05A5E"/>
    <w:rsid w:val="00B0780C"/>
    <w:rsid w:val="00B07D2F"/>
    <w:rsid w:val="00B102DC"/>
    <w:rsid w:val="00B10B3F"/>
    <w:rsid w:val="00B12684"/>
    <w:rsid w:val="00B150A6"/>
    <w:rsid w:val="00B176F4"/>
    <w:rsid w:val="00B226D5"/>
    <w:rsid w:val="00B2394C"/>
    <w:rsid w:val="00B25879"/>
    <w:rsid w:val="00B314FE"/>
    <w:rsid w:val="00B34603"/>
    <w:rsid w:val="00B3549C"/>
    <w:rsid w:val="00B36B60"/>
    <w:rsid w:val="00B36CB1"/>
    <w:rsid w:val="00B410BB"/>
    <w:rsid w:val="00B4128E"/>
    <w:rsid w:val="00B43BBF"/>
    <w:rsid w:val="00B451B7"/>
    <w:rsid w:val="00B45B03"/>
    <w:rsid w:val="00B4646A"/>
    <w:rsid w:val="00B510CF"/>
    <w:rsid w:val="00B51A02"/>
    <w:rsid w:val="00B535ED"/>
    <w:rsid w:val="00B53BD0"/>
    <w:rsid w:val="00B53E00"/>
    <w:rsid w:val="00B54BE5"/>
    <w:rsid w:val="00B54CDB"/>
    <w:rsid w:val="00B55226"/>
    <w:rsid w:val="00B620BF"/>
    <w:rsid w:val="00B62D6F"/>
    <w:rsid w:val="00B634D6"/>
    <w:rsid w:val="00B66637"/>
    <w:rsid w:val="00B66AC5"/>
    <w:rsid w:val="00B71201"/>
    <w:rsid w:val="00B720D0"/>
    <w:rsid w:val="00B7246F"/>
    <w:rsid w:val="00B72C27"/>
    <w:rsid w:val="00B72FDE"/>
    <w:rsid w:val="00B73F76"/>
    <w:rsid w:val="00B74235"/>
    <w:rsid w:val="00B76376"/>
    <w:rsid w:val="00B7760E"/>
    <w:rsid w:val="00B815FB"/>
    <w:rsid w:val="00B81C5C"/>
    <w:rsid w:val="00B82B26"/>
    <w:rsid w:val="00B85049"/>
    <w:rsid w:val="00B8611D"/>
    <w:rsid w:val="00B866C2"/>
    <w:rsid w:val="00B86DFE"/>
    <w:rsid w:val="00B9212A"/>
    <w:rsid w:val="00B9615C"/>
    <w:rsid w:val="00B9616F"/>
    <w:rsid w:val="00B97454"/>
    <w:rsid w:val="00B97DE2"/>
    <w:rsid w:val="00BA11AB"/>
    <w:rsid w:val="00BA1AEF"/>
    <w:rsid w:val="00BA22ED"/>
    <w:rsid w:val="00BA4118"/>
    <w:rsid w:val="00BA60DE"/>
    <w:rsid w:val="00BA6AE6"/>
    <w:rsid w:val="00BB051A"/>
    <w:rsid w:val="00BB17B2"/>
    <w:rsid w:val="00BB3044"/>
    <w:rsid w:val="00BB33D7"/>
    <w:rsid w:val="00BB39FC"/>
    <w:rsid w:val="00BB3D5B"/>
    <w:rsid w:val="00BB3E88"/>
    <w:rsid w:val="00BB4509"/>
    <w:rsid w:val="00BB4FE3"/>
    <w:rsid w:val="00BB5AAA"/>
    <w:rsid w:val="00BB7D07"/>
    <w:rsid w:val="00BC11AA"/>
    <w:rsid w:val="00BC3F95"/>
    <w:rsid w:val="00BC494C"/>
    <w:rsid w:val="00BC4CCF"/>
    <w:rsid w:val="00BC6CF9"/>
    <w:rsid w:val="00BD08FE"/>
    <w:rsid w:val="00BD180D"/>
    <w:rsid w:val="00BD4DC3"/>
    <w:rsid w:val="00BD5818"/>
    <w:rsid w:val="00BD6949"/>
    <w:rsid w:val="00BD71BD"/>
    <w:rsid w:val="00BD7311"/>
    <w:rsid w:val="00BE0578"/>
    <w:rsid w:val="00BE309A"/>
    <w:rsid w:val="00BE7467"/>
    <w:rsid w:val="00BF00C7"/>
    <w:rsid w:val="00BF1449"/>
    <w:rsid w:val="00BF2227"/>
    <w:rsid w:val="00BF2646"/>
    <w:rsid w:val="00BF3013"/>
    <w:rsid w:val="00BF4118"/>
    <w:rsid w:val="00BF4A47"/>
    <w:rsid w:val="00BF70B3"/>
    <w:rsid w:val="00C007F0"/>
    <w:rsid w:val="00C024EF"/>
    <w:rsid w:val="00C054FB"/>
    <w:rsid w:val="00C063C2"/>
    <w:rsid w:val="00C07288"/>
    <w:rsid w:val="00C07A28"/>
    <w:rsid w:val="00C106D8"/>
    <w:rsid w:val="00C11665"/>
    <w:rsid w:val="00C11D9F"/>
    <w:rsid w:val="00C163CC"/>
    <w:rsid w:val="00C206AD"/>
    <w:rsid w:val="00C20A7E"/>
    <w:rsid w:val="00C20DDF"/>
    <w:rsid w:val="00C23939"/>
    <w:rsid w:val="00C240A8"/>
    <w:rsid w:val="00C241B9"/>
    <w:rsid w:val="00C25D5F"/>
    <w:rsid w:val="00C306F4"/>
    <w:rsid w:val="00C30C6D"/>
    <w:rsid w:val="00C315A6"/>
    <w:rsid w:val="00C342B2"/>
    <w:rsid w:val="00C346A0"/>
    <w:rsid w:val="00C3498D"/>
    <w:rsid w:val="00C40A0D"/>
    <w:rsid w:val="00C41EED"/>
    <w:rsid w:val="00C41F84"/>
    <w:rsid w:val="00C4447A"/>
    <w:rsid w:val="00C45317"/>
    <w:rsid w:val="00C45A64"/>
    <w:rsid w:val="00C45B27"/>
    <w:rsid w:val="00C479BC"/>
    <w:rsid w:val="00C5040F"/>
    <w:rsid w:val="00C54250"/>
    <w:rsid w:val="00C558D0"/>
    <w:rsid w:val="00C56195"/>
    <w:rsid w:val="00C56386"/>
    <w:rsid w:val="00C60AE8"/>
    <w:rsid w:val="00C618F8"/>
    <w:rsid w:val="00C61E19"/>
    <w:rsid w:val="00C61EDD"/>
    <w:rsid w:val="00C6374E"/>
    <w:rsid w:val="00C6505B"/>
    <w:rsid w:val="00C65E35"/>
    <w:rsid w:val="00C65EF1"/>
    <w:rsid w:val="00C70695"/>
    <w:rsid w:val="00C724E9"/>
    <w:rsid w:val="00C735AB"/>
    <w:rsid w:val="00C74A33"/>
    <w:rsid w:val="00C7538D"/>
    <w:rsid w:val="00C76979"/>
    <w:rsid w:val="00C76B3A"/>
    <w:rsid w:val="00C77A95"/>
    <w:rsid w:val="00C77D42"/>
    <w:rsid w:val="00C81250"/>
    <w:rsid w:val="00C83858"/>
    <w:rsid w:val="00C86365"/>
    <w:rsid w:val="00C9058F"/>
    <w:rsid w:val="00C90CB1"/>
    <w:rsid w:val="00C92E81"/>
    <w:rsid w:val="00C9301A"/>
    <w:rsid w:val="00C9332A"/>
    <w:rsid w:val="00C95BEA"/>
    <w:rsid w:val="00C97508"/>
    <w:rsid w:val="00C97EA7"/>
    <w:rsid w:val="00C97ED7"/>
    <w:rsid w:val="00CA0893"/>
    <w:rsid w:val="00CA1999"/>
    <w:rsid w:val="00CA2258"/>
    <w:rsid w:val="00CA3B16"/>
    <w:rsid w:val="00CA5A2E"/>
    <w:rsid w:val="00CA6174"/>
    <w:rsid w:val="00CA6963"/>
    <w:rsid w:val="00CA726E"/>
    <w:rsid w:val="00CA77AF"/>
    <w:rsid w:val="00CB1751"/>
    <w:rsid w:val="00CB304D"/>
    <w:rsid w:val="00CB4539"/>
    <w:rsid w:val="00CB58C7"/>
    <w:rsid w:val="00CB602F"/>
    <w:rsid w:val="00CB736C"/>
    <w:rsid w:val="00CC0DF1"/>
    <w:rsid w:val="00CC2ECC"/>
    <w:rsid w:val="00CC7904"/>
    <w:rsid w:val="00CD005B"/>
    <w:rsid w:val="00CD2040"/>
    <w:rsid w:val="00CD3662"/>
    <w:rsid w:val="00CD4153"/>
    <w:rsid w:val="00CD4950"/>
    <w:rsid w:val="00CD7332"/>
    <w:rsid w:val="00CE0C80"/>
    <w:rsid w:val="00CE54C5"/>
    <w:rsid w:val="00CE5F23"/>
    <w:rsid w:val="00CF2CD2"/>
    <w:rsid w:val="00D00749"/>
    <w:rsid w:val="00D052DA"/>
    <w:rsid w:val="00D11091"/>
    <w:rsid w:val="00D11296"/>
    <w:rsid w:val="00D118AC"/>
    <w:rsid w:val="00D130AD"/>
    <w:rsid w:val="00D13654"/>
    <w:rsid w:val="00D160C2"/>
    <w:rsid w:val="00D16F3D"/>
    <w:rsid w:val="00D2456E"/>
    <w:rsid w:val="00D2558B"/>
    <w:rsid w:val="00D25593"/>
    <w:rsid w:val="00D26AED"/>
    <w:rsid w:val="00D26ED5"/>
    <w:rsid w:val="00D27935"/>
    <w:rsid w:val="00D30AFC"/>
    <w:rsid w:val="00D3367E"/>
    <w:rsid w:val="00D33D2E"/>
    <w:rsid w:val="00D37EA9"/>
    <w:rsid w:val="00D403A5"/>
    <w:rsid w:val="00D41712"/>
    <w:rsid w:val="00D425DA"/>
    <w:rsid w:val="00D429D9"/>
    <w:rsid w:val="00D44712"/>
    <w:rsid w:val="00D44856"/>
    <w:rsid w:val="00D45CA0"/>
    <w:rsid w:val="00D45DF9"/>
    <w:rsid w:val="00D47232"/>
    <w:rsid w:val="00D475A5"/>
    <w:rsid w:val="00D521EE"/>
    <w:rsid w:val="00D5478E"/>
    <w:rsid w:val="00D54A8A"/>
    <w:rsid w:val="00D550D8"/>
    <w:rsid w:val="00D56986"/>
    <w:rsid w:val="00D57313"/>
    <w:rsid w:val="00D57761"/>
    <w:rsid w:val="00D60819"/>
    <w:rsid w:val="00D60C30"/>
    <w:rsid w:val="00D62093"/>
    <w:rsid w:val="00D62196"/>
    <w:rsid w:val="00D62280"/>
    <w:rsid w:val="00D63189"/>
    <w:rsid w:val="00D651C5"/>
    <w:rsid w:val="00D675A7"/>
    <w:rsid w:val="00D67CB2"/>
    <w:rsid w:val="00D700D6"/>
    <w:rsid w:val="00D7494F"/>
    <w:rsid w:val="00D74EC4"/>
    <w:rsid w:val="00D7566C"/>
    <w:rsid w:val="00D76BEE"/>
    <w:rsid w:val="00D8255C"/>
    <w:rsid w:val="00D84C13"/>
    <w:rsid w:val="00D8529F"/>
    <w:rsid w:val="00D86CF1"/>
    <w:rsid w:val="00D8755E"/>
    <w:rsid w:val="00D87CEF"/>
    <w:rsid w:val="00D9251F"/>
    <w:rsid w:val="00D9342B"/>
    <w:rsid w:val="00D9511B"/>
    <w:rsid w:val="00D9593E"/>
    <w:rsid w:val="00D961A6"/>
    <w:rsid w:val="00D965C5"/>
    <w:rsid w:val="00D9771F"/>
    <w:rsid w:val="00D97EEB"/>
    <w:rsid w:val="00DA22EC"/>
    <w:rsid w:val="00DA2B55"/>
    <w:rsid w:val="00DA4F85"/>
    <w:rsid w:val="00DA5DEF"/>
    <w:rsid w:val="00DA5E98"/>
    <w:rsid w:val="00DA65C9"/>
    <w:rsid w:val="00DA66EE"/>
    <w:rsid w:val="00DA7918"/>
    <w:rsid w:val="00DB10A3"/>
    <w:rsid w:val="00DB55B9"/>
    <w:rsid w:val="00DB716C"/>
    <w:rsid w:val="00DB7BD0"/>
    <w:rsid w:val="00DC0124"/>
    <w:rsid w:val="00DC5822"/>
    <w:rsid w:val="00DC787D"/>
    <w:rsid w:val="00DD036C"/>
    <w:rsid w:val="00DD04B3"/>
    <w:rsid w:val="00DD0BEB"/>
    <w:rsid w:val="00DD0CAE"/>
    <w:rsid w:val="00DD1205"/>
    <w:rsid w:val="00DD20F3"/>
    <w:rsid w:val="00DD3F4A"/>
    <w:rsid w:val="00DE0069"/>
    <w:rsid w:val="00DE0A77"/>
    <w:rsid w:val="00DE1F2C"/>
    <w:rsid w:val="00DE2023"/>
    <w:rsid w:val="00DE2110"/>
    <w:rsid w:val="00DE3AD4"/>
    <w:rsid w:val="00DE3CAC"/>
    <w:rsid w:val="00DE4E89"/>
    <w:rsid w:val="00DE5AC6"/>
    <w:rsid w:val="00DF2A4E"/>
    <w:rsid w:val="00DF3B76"/>
    <w:rsid w:val="00DF5B4C"/>
    <w:rsid w:val="00DF6FFD"/>
    <w:rsid w:val="00DF79CF"/>
    <w:rsid w:val="00E00767"/>
    <w:rsid w:val="00E012FC"/>
    <w:rsid w:val="00E04072"/>
    <w:rsid w:val="00E067BC"/>
    <w:rsid w:val="00E12815"/>
    <w:rsid w:val="00E14871"/>
    <w:rsid w:val="00E15D3F"/>
    <w:rsid w:val="00E263F6"/>
    <w:rsid w:val="00E304AC"/>
    <w:rsid w:val="00E309CC"/>
    <w:rsid w:val="00E31147"/>
    <w:rsid w:val="00E31A0C"/>
    <w:rsid w:val="00E377F6"/>
    <w:rsid w:val="00E4213E"/>
    <w:rsid w:val="00E427A4"/>
    <w:rsid w:val="00E44A58"/>
    <w:rsid w:val="00E455D1"/>
    <w:rsid w:val="00E45742"/>
    <w:rsid w:val="00E46026"/>
    <w:rsid w:val="00E477F7"/>
    <w:rsid w:val="00E52B82"/>
    <w:rsid w:val="00E53DCC"/>
    <w:rsid w:val="00E55687"/>
    <w:rsid w:val="00E5725B"/>
    <w:rsid w:val="00E60E92"/>
    <w:rsid w:val="00E61CAA"/>
    <w:rsid w:val="00E620A9"/>
    <w:rsid w:val="00E63971"/>
    <w:rsid w:val="00E64303"/>
    <w:rsid w:val="00E64AD7"/>
    <w:rsid w:val="00E65C59"/>
    <w:rsid w:val="00E65D02"/>
    <w:rsid w:val="00E6681A"/>
    <w:rsid w:val="00E67A14"/>
    <w:rsid w:val="00E67B7D"/>
    <w:rsid w:val="00E7014F"/>
    <w:rsid w:val="00E7254D"/>
    <w:rsid w:val="00E72C47"/>
    <w:rsid w:val="00E77260"/>
    <w:rsid w:val="00E81411"/>
    <w:rsid w:val="00E81E05"/>
    <w:rsid w:val="00E84998"/>
    <w:rsid w:val="00E871D4"/>
    <w:rsid w:val="00E875CC"/>
    <w:rsid w:val="00E87EAA"/>
    <w:rsid w:val="00E9064E"/>
    <w:rsid w:val="00E9096B"/>
    <w:rsid w:val="00E919E0"/>
    <w:rsid w:val="00E9579D"/>
    <w:rsid w:val="00E95E40"/>
    <w:rsid w:val="00E95FDE"/>
    <w:rsid w:val="00E975F1"/>
    <w:rsid w:val="00E97C16"/>
    <w:rsid w:val="00EA1A2F"/>
    <w:rsid w:val="00EA1CB4"/>
    <w:rsid w:val="00EA24F7"/>
    <w:rsid w:val="00EA32E9"/>
    <w:rsid w:val="00EA335F"/>
    <w:rsid w:val="00EA3C8E"/>
    <w:rsid w:val="00EA5833"/>
    <w:rsid w:val="00EA62AD"/>
    <w:rsid w:val="00EA7F53"/>
    <w:rsid w:val="00EB2340"/>
    <w:rsid w:val="00EB4065"/>
    <w:rsid w:val="00EB41DB"/>
    <w:rsid w:val="00EB4449"/>
    <w:rsid w:val="00EB484D"/>
    <w:rsid w:val="00EB501B"/>
    <w:rsid w:val="00EB67C3"/>
    <w:rsid w:val="00EB7FD2"/>
    <w:rsid w:val="00EC07C0"/>
    <w:rsid w:val="00EC2E9A"/>
    <w:rsid w:val="00EC4494"/>
    <w:rsid w:val="00EC4798"/>
    <w:rsid w:val="00EC5122"/>
    <w:rsid w:val="00ED3B92"/>
    <w:rsid w:val="00ED4519"/>
    <w:rsid w:val="00ED4782"/>
    <w:rsid w:val="00ED4DC4"/>
    <w:rsid w:val="00ED5CF2"/>
    <w:rsid w:val="00ED68AC"/>
    <w:rsid w:val="00ED6B0B"/>
    <w:rsid w:val="00ED6E3B"/>
    <w:rsid w:val="00ED7255"/>
    <w:rsid w:val="00EE012F"/>
    <w:rsid w:val="00EE08C4"/>
    <w:rsid w:val="00EE0A2B"/>
    <w:rsid w:val="00EE0D70"/>
    <w:rsid w:val="00EE2A7D"/>
    <w:rsid w:val="00EE2BB1"/>
    <w:rsid w:val="00EE3A31"/>
    <w:rsid w:val="00EE3AA2"/>
    <w:rsid w:val="00EE406E"/>
    <w:rsid w:val="00EE74FF"/>
    <w:rsid w:val="00EF0142"/>
    <w:rsid w:val="00EF1DDD"/>
    <w:rsid w:val="00EF2DAC"/>
    <w:rsid w:val="00EF2EC6"/>
    <w:rsid w:val="00EF323A"/>
    <w:rsid w:val="00EF65CD"/>
    <w:rsid w:val="00EF69F7"/>
    <w:rsid w:val="00EF76A1"/>
    <w:rsid w:val="00F00B7C"/>
    <w:rsid w:val="00F01D03"/>
    <w:rsid w:val="00F01E02"/>
    <w:rsid w:val="00F02827"/>
    <w:rsid w:val="00F07734"/>
    <w:rsid w:val="00F11429"/>
    <w:rsid w:val="00F123D1"/>
    <w:rsid w:val="00F12C84"/>
    <w:rsid w:val="00F12F66"/>
    <w:rsid w:val="00F16057"/>
    <w:rsid w:val="00F169ED"/>
    <w:rsid w:val="00F17E2C"/>
    <w:rsid w:val="00F24C3F"/>
    <w:rsid w:val="00F31828"/>
    <w:rsid w:val="00F31FD0"/>
    <w:rsid w:val="00F32311"/>
    <w:rsid w:val="00F32642"/>
    <w:rsid w:val="00F33CDE"/>
    <w:rsid w:val="00F3555D"/>
    <w:rsid w:val="00F36100"/>
    <w:rsid w:val="00F37A7A"/>
    <w:rsid w:val="00F40904"/>
    <w:rsid w:val="00F41180"/>
    <w:rsid w:val="00F4173F"/>
    <w:rsid w:val="00F41F5F"/>
    <w:rsid w:val="00F430A8"/>
    <w:rsid w:val="00F43BE5"/>
    <w:rsid w:val="00F53218"/>
    <w:rsid w:val="00F53D42"/>
    <w:rsid w:val="00F547A3"/>
    <w:rsid w:val="00F570C8"/>
    <w:rsid w:val="00F61D6C"/>
    <w:rsid w:val="00F63AE9"/>
    <w:rsid w:val="00F661C8"/>
    <w:rsid w:val="00F678FA"/>
    <w:rsid w:val="00F67A46"/>
    <w:rsid w:val="00F67F89"/>
    <w:rsid w:val="00F700A4"/>
    <w:rsid w:val="00F70620"/>
    <w:rsid w:val="00F7124B"/>
    <w:rsid w:val="00F71271"/>
    <w:rsid w:val="00F7198A"/>
    <w:rsid w:val="00F72139"/>
    <w:rsid w:val="00F77087"/>
    <w:rsid w:val="00F80DF6"/>
    <w:rsid w:val="00F81291"/>
    <w:rsid w:val="00F82613"/>
    <w:rsid w:val="00F84B03"/>
    <w:rsid w:val="00F86989"/>
    <w:rsid w:val="00F936F3"/>
    <w:rsid w:val="00F93ECD"/>
    <w:rsid w:val="00F949AA"/>
    <w:rsid w:val="00F94DC8"/>
    <w:rsid w:val="00F972AF"/>
    <w:rsid w:val="00FA04CD"/>
    <w:rsid w:val="00FA2F2A"/>
    <w:rsid w:val="00FA3566"/>
    <w:rsid w:val="00FA3C04"/>
    <w:rsid w:val="00FA49AD"/>
    <w:rsid w:val="00FA7598"/>
    <w:rsid w:val="00FB137B"/>
    <w:rsid w:val="00FB1AC0"/>
    <w:rsid w:val="00FB2D3B"/>
    <w:rsid w:val="00FB2E23"/>
    <w:rsid w:val="00FB5110"/>
    <w:rsid w:val="00FB77B2"/>
    <w:rsid w:val="00FC001C"/>
    <w:rsid w:val="00FC0D5A"/>
    <w:rsid w:val="00FC12A7"/>
    <w:rsid w:val="00FC1C1A"/>
    <w:rsid w:val="00FC44B6"/>
    <w:rsid w:val="00FC4DFB"/>
    <w:rsid w:val="00FC520A"/>
    <w:rsid w:val="00FC6A5E"/>
    <w:rsid w:val="00FC6D11"/>
    <w:rsid w:val="00FC6D3F"/>
    <w:rsid w:val="00FC76CA"/>
    <w:rsid w:val="00FD021E"/>
    <w:rsid w:val="00FD102E"/>
    <w:rsid w:val="00FD1F3C"/>
    <w:rsid w:val="00FD2E8A"/>
    <w:rsid w:val="00FD4414"/>
    <w:rsid w:val="00FD59C5"/>
    <w:rsid w:val="00FD7A89"/>
    <w:rsid w:val="00FD7E23"/>
    <w:rsid w:val="00FE06A4"/>
    <w:rsid w:val="00FE06BA"/>
    <w:rsid w:val="00FE1C9A"/>
    <w:rsid w:val="00FE7D20"/>
    <w:rsid w:val="00FF1247"/>
    <w:rsid w:val="00FF4495"/>
    <w:rsid w:val="00FF504E"/>
    <w:rsid w:val="00FF6280"/>
    <w:rsid w:val="00FF6B68"/>
    <w:rsid w:val="00FF6BFA"/>
    <w:rsid w:val="01676DE4"/>
    <w:rsid w:val="01857564"/>
    <w:rsid w:val="01AFE04C"/>
    <w:rsid w:val="01D926C2"/>
    <w:rsid w:val="01F2990C"/>
    <w:rsid w:val="0219FC5B"/>
    <w:rsid w:val="028663A0"/>
    <w:rsid w:val="037C5E8D"/>
    <w:rsid w:val="038F46D6"/>
    <w:rsid w:val="0414E92E"/>
    <w:rsid w:val="04436517"/>
    <w:rsid w:val="04579542"/>
    <w:rsid w:val="04852FD9"/>
    <w:rsid w:val="04930C9C"/>
    <w:rsid w:val="057CD311"/>
    <w:rsid w:val="06A6CCD8"/>
    <w:rsid w:val="0701629B"/>
    <w:rsid w:val="0820C0FA"/>
    <w:rsid w:val="088D95C2"/>
    <w:rsid w:val="0938AA93"/>
    <w:rsid w:val="09DA8A1E"/>
    <w:rsid w:val="0A4AA2EA"/>
    <w:rsid w:val="0A5D9849"/>
    <w:rsid w:val="0AC5E02B"/>
    <w:rsid w:val="0B403FAF"/>
    <w:rsid w:val="0BB1A9BB"/>
    <w:rsid w:val="0BC6A3EB"/>
    <w:rsid w:val="0C3564CA"/>
    <w:rsid w:val="0CA0FDF6"/>
    <w:rsid w:val="0D4B8DD4"/>
    <w:rsid w:val="0EF42C26"/>
    <w:rsid w:val="0FEBFE54"/>
    <w:rsid w:val="102996EB"/>
    <w:rsid w:val="10446E76"/>
    <w:rsid w:val="106F5514"/>
    <w:rsid w:val="1083362D"/>
    <w:rsid w:val="1132C4CA"/>
    <w:rsid w:val="1299AA3C"/>
    <w:rsid w:val="13155FF7"/>
    <w:rsid w:val="13476468"/>
    <w:rsid w:val="135838E7"/>
    <w:rsid w:val="1365C759"/>
    <w:rsid w:val="136EEEE5"/>
    <w:rsid w:val="13713F46"/>
    <w:rsid w:val="1380ED04"/>
    <w:rsid w:val="13C39A27"/>
    <w:rsid w:val="13E7D3C2"/>
    <w:rsid w:val="152E02ED"/>
    <w:rsid w:val="1576B954"/>
    <w:rsid w:val="159DA5CA"/>
    <w:rsid w:val="15CACED0"/>
    <w:rsid w:val="15DCC51E"/>
    <w:rsid w:val="173380CE"/>
    <w:rsid w:val="183D3320"/>
    <w:rsid w:val="189F8470"/>
    <w:rsid w:val="194CE337"/>
    <w:rsid w:val="196D41CE"/>
    <w:rsid w:val="19B15D00"/>
    <w:rsid w:val="19FC3509"/>
    <w:rsid w:val="1A1D8A36"/>
    <w:rsid w:val="1A7C804C"/>
    <w:rsid w:val="1AC3E34A"/>
    <w:rsid w:val="1ADDE173"/>
    <w:rsid w:val="1BA99AA3"/>
    <w:rsid w:val="1BC9D384"/>
    <w:rsid w:val="1C6DC76D"/>
    <w:rsid w:val="1C7F0156"/>
    <w:rsid w:val="1C9CE54D"/>
    <w:rsid w:val="1DB59BC9"/>
    <w:rsid w:val="1E2F61E1"/>
    <w:rsid w:val="1E61E439"/>
    <w:rsid w:val="1E89627F"/>
    <w:rsid w:val="1ECBA9B1"/>
    <w:rsid w:val="201B6EC1"/>
    <w:rsid w:val="20660C5E"/>
    <w:rsid w:val="20CD4639"/>
    <w:rsid w:val="210EB561"/>
    <w:rsid w:val="215B1A73"/>
    <w:rsid w:val="21B8278D"/>
    <w:rsid w:val="21FF99AF"/>
    <w:rsid w:val="22742BAA"/>
    <w:rsid w:val="22C379A5"/>
    <w:rsid w:val="232DDCE7"/>
    <w:rsid w:val="234C20ED"/>
    <w:rsid w:val="23F98588"/>
    <w:rsid w:val="241BE546"/>
    <w:rsid w:val="24350FC4"/>
    <w:rsid w:val="24951621"/>
    <w:rsid w:val="24AE8F40"/>
    <w:rsid w:val="24CF0768"/>
    <w:rsid w:val="24F96171"/>
    <w:rsid w:val="250D94B8"/>
    <w:rsid w:val="253F2A0C"/>
    <w:rsid w:val="254B1530"/>
    <w:rsid w:val="2574010C"/>
    <w:rsid w:val="2592CCE9"/>
    <w:rsid w:val="259AA1C1"/>
    <w:rsid w:val="2602672A"/>
    <w:rsid w:val="268178AB"/>
    <w:rsid w:val="27D52491"/>
    <w:rsid w:val="2827E2F1"/>
    <w:rsid w:val="283AB63F"/>
    <w:rsid w:val="29266330"/>
    <w:rsid w:val="29A928AA"/>
    <w:rsid w:val="29BE269A"/>
    <w:rsid w:val="29EEBB01"/>
    <w:rsid w:val="2A23E51B"/>
    <w:rsid w:val="2A52E733"/>
    <w:rsid w:val="2A55E4E9"/>
    <w:rsid w:val="2A89A3C1"/>
    <w:rsid w:val="2AA49BCE"/>
    <w:rsid w:val="2B0C29A0"/>
    <w:rsid w:val="2B429C8C"/>
    <w:rsid w:val="2B72EE1E"/>
    <w:rsid w:val="2C08CEF6"/>
    <w:rsid w:val="2C4B36F1"/>
    <w:rsid w:val="2C987F12"/>
    <w:rsid w:val="2CE05094"/>
    <w:rsid w:val="2D7C4E0B"/>
    <w:rsid w:val="2D99FE75"/>
    <w:rsid w:val="2DABBE35"/>
    <w:rsid w:val="2DF378E4"/>
    <w:rsid w:val="2E4F4A69"/>
    <w:rsid w:val="2E83973C"/>
    <w:rsid w:val="2EA1D801"/>
    <w:rsid w:val="2EE7BE95"/>
    <w:rsid w:val="2EFCEAFF"/>
    <w:rsid w:val="2F12E215"/>
    <w:rsid w:val="2F48F697"/>
    <w:rsid w:val="2FB89D60"/>
    <w:rsid w:val="2FC6A656"/>
    <w:rsid w:val="305AD6A0"/>
    <w:rsid w:val="309DA3DB"/>
    <w:rsid w:val="3137EB72"/>
    <w:rsid w:val="31C94283"/>
    <w:rsid w:val="325B5D0A"/>
    <w:rsid w:val="3329EDE8"/>
    <w:rsid w:val="3350D94E"/>
    <w:rsid w:val="33732AA7"/>
    <w:rsid w:val="339D2B75"/>
    <w:rsid w:val="3415A0CD"/>
    <w:rsid w:val="3469E73E"/>
    <w:rsid w:val="349B7643"/>
    <w:rsid w:val="350E82AC"/>
    <w:rsid w:val="35497436"/>
    <w:rsid w:val="35679110"/>
    <w:rsid w:val="357810E4"/>
    <w:rsid w:val="35F2A053"/>
    <w:rsid w:val="363617E0"/>
    <w:rsid w:val="364E11DA"/>
    <w:rsid w:val="36E673A2"/>
    <w:rsid w:val="3713E145"/>
    <w:rsid w:val="372CA769"/>
    <w:rsid w:val="3737B7D2"/>
    <w:rsid w:val="37403BD5"/>
    <w:rsid w:val="37D2B7DC"/>
    <w:rsid w:val="388D0101"/>
    <w:rsid w:val="38C6F3B1"/>
    <w:rsid w:val="38E337A6"/>
    <w:rsid w:val="399A4DA0"/>
    <w:rsid w:val="39CE34FE"/>
    <w:rsid w:val="39E12931"/>
    <w:rsid w:val="39E140C3"/>
    <w:rsid w:val="3A07A014"/>
    <w:rsid w:val="3A614D69"/>
    <w:rsid w:val="3AF5A1BE"/>
    <w:rsid w:val="3B6E9B44"/>
    <w:rsid w:val="3B8C56A5"/>
    <w:rsid w:val="3B9FFE2D"/>
    <w:rsid w:val="3BA1353C"/>
    <w:rsid w:val="3C1DF443"/>
    <w:rsid w:val="3C5588EA"/>
    <w:rsid w:val="3C788AC1"/>
    <w:rsid w:val="3C9A4103"/>
    <w:rsid w:val="3CBAA589"/>
    <w:rsid w:val="3CDD4E0D"/>
    <w:rsid w:val="3CDE0020"/>
    <w:rsid w:val="3CE7DD6E"/>
    <w:rsid w:val="3D2A7D8E"/>
    <w:rsid w:val="3D7133FB"/>
    <w:rsid w:val="3D920639"/>
    <w:rsid w:val="3D9B5E3A"/>
    <w:rsid w:val="3EE1AB76"/>
    <w:rsid w:val="3F2482D7"/>
    <w:rsid w:val="4026A171"/>
    <w:rsid w:val="4069822C"/>
    <w:rsid w:val="40748A70"/>
    <w:rsid w:val="407AEFAC"/>
    <w:rsid w:val="41968197"/>
    <w:rsid w:val="41971E0E"/>
    <w:rsid w:val="41CD1875"/>
    <w:rsid w:val="4259C52D"/>
    <w:rsid w:val="427DED1F"/>
    <w:rsid w:val="428274FA"/>
    <w:rsid w:val="42A6390B"/>
    <w:rsid w:val="4317CBC6"/>
    <w:rsid w:val="43EE9A2D"/>
    <w:rsid w:val="444B9B71"/>
    <w:rsid w:val="446B832C"/>
    <w:rsid w:val="452F19EE"/>
    <w:rsid w:val="4537A517"/>
    <w:rsid w:val="46AE5730"/>
    <w:rsid w:val="46CD8CE0"/>
    <w:rsid w:val="474BDCCA"/>
    <w:rsid w:val="474C9F0C"/>
    <w:rsid w:val="476E6B8E"/>
    <w:rsid w:val="4770B6D3"/>
    <w:rsid w:val="4783D4FA"/>
    <w:rsid w:val="47B46AD2"/>
    <w:rsid w:val="47E24D9E"/>
    <w:rsid w:val="482DC439"/>
    <w:rsid w:val="487DB5D9"/>
    <w:rsid w:val="48E59950"/>
    <w:rsid w:val="48E6B9F4"/>
    <w:rsid w:val="495DFFC4"/>
    <w:rsid w:val="49A4E31C"/>
    <w:rsid w:val="4A2254B3"/>
    <w:rsid w:val="4A70E352"/>
    <w:rsid w:val="4A795A5F"/>
    <w:rsid w:val="4A9E939E"/>
    <w:rsid w:val="4AD5F390"/>
    <w:rsid w:val="4ADECD60"/>
    <w:rsid w:val="4B22D737"/>
    <w:rsid w:val="4B9D894E"/>
    <w:rsid w:val="4C529C2E"/>
    <w:rsid w:val="4C6BCFA4"/>
    <w:rsid w:val="4C90D224"/>
    <w:rsid w:val="4CA37FE8"/>
    <w:rsid w:val="4CC8A076"/>
    <w:rsid w:val="4CE0887A"/>
    <w:rsid w:val="4CFC7ECD"/>
    <w:rsid w:val="4CFD43BA"/>
    <w:rsid w:val="4D345A33"/>
    <w:rsid w:val="4D35E0B6"/>
    <w:rsid w:val="4D58FC56"/>
    <w:rsid w:val="4D691D5C"/>
    <w:rsid w:val="4D8141AC"/>
    <w:rsid w:val="4DF4394C"/>
    <w:rsid w:val="4E0D881C"/>
    <w:rsid w:val="4E36958A"/>
    <w:rsid w:val="4E3D7996"/>
    <w:rsid w:val="4E6470D7"/>
    <w:rsid w:val="4E894EBD"/>
    <w:rsid w:val="4E94E69D"/>
    <w:rsid w:val="4F23D0A3"/>
    <w:rsid w:val="4F63BEBF"/>
    <w:rsid w:val="4F717473"/>
    <w:rsid w:val="4F743A59"/>
    <w:rsid w:val="50976D2C"/>
    <w:rsid w:val="50AAD5B0"/>
    <w:rsid w:val="50B49E83"/>
    <w:rsid w:val="51786168"/>
    <w:rsid w:val="51884F29"/>
    <w:rsid w:val="51AB81EB"/>
    <w:rsid w:val="51B4B7E6"/>
    <w:rsid w:val="5205D717"/>
    <w:rsid w:val="525688CE"/>
    <w:rsid w:val="528DFB04"/>
    <w:rsid w:val="52EBC3A1"/>
    <w:rsid w:val="52F9D1F2"/>
    <w:rsid w:val="53D81FC1"/>
    <w:rsid w:val="53FA0C3F"/>
    <w:rsid w:val="54253BAE"/>
    <w:rsid w:val="54650DBE"/>
    <w:rsid w:val="547243ED"/>
    <w:rsid w:val="5481310B"/>
    <w:rsid w:val="54BA41FD"/>
    <w:rsid w:val="55006D75"/>
    <w:rsid w:val="550C52D4"/>
    <w:rsid w:val="554A270C"/>
    <w:rsid w:val="563FE4F2"/>
    <w:rsid w:val="56C14ECD"/>
    <w:rsid w:val="57CC40E4"/>
    <w:rsid w:val="57DCD00A"/>
    <w:rsid w:val="58354BBD"/>
    <w:rsid w:val="58C5BFBA"/>
    <w:rsid w:val="58F879B9"/>
    <w:rsid w:val="592C584F"/>
    <w:rsid w:val="59684BEF"/>
    <w:rsid w:val="5973A36B"/>
    <w:rsid w:val="5A0416FB"/>
    <w:rsid w:val="5A655C0F"/>
    <w:rsid w:val="5A89CDD9"/>
    <w:rsid w:val="5AABC930"/>
    <w:rsid w:val="5B71EAD8"/>
    <w:rsid w:val="5BA83F48"/>
    <w:rsid w:val="5CA3B02A"/>
    <w:rsid w:val="5CA5E341"/>
    <w:rsid w:val="5D8E20EF"/>
    <w:rsid w:val="5DDCB33E"/>
    <w:rsid w:val="5DE494CB"/>
    <w:rsid w:val="5DF7736C"/>
    <w:rsid w:val="5E47FBE6"/>
    <w:rsid w:val="5E51A441"/>
    <w:rsid w:val="5E7B8628"/>
    <w:rsid w:val="5EB7F065"/>
    <w:rsid w:val="60119412"/>
    <w:rsid w:val="60786DB2"/>
    <w:rsid w:val="60A69C3D"/>
    <w:rsid w:val="60D93733"/>
    <w:rsid w:val="61CBEC89"/>
    <w:rsid w:val="626673AD"/>
    <w:rsid w:val="62677D95"/>
    <w:rsid w:val="628AC9D5"/>
    <w:rsid w:val="62BF7B20"/>
    <w:rsid w:val="63075294"/>
    <w:rsid w:val="641C2561"/>
    <w:rsid w:val="6440B288"/>
    <w:rsid w:val="646926FC"/>
    <w:rsid w:val="65452A3B"/>
    <w:rsid w:val="6550A673"/>
    <w:rsid w:val="656A7629"/>
    <w:rsid w:val="658E2452"/>
    <w:rsid w:val="65C6FF12"/>
    <w:rsid w:val="65E365FA"/>
    <w:rsid w:val="6625FF20"/>
    <w:rsid w:val="6674220A"/>
    <w:rsid w:val="668E4DAA"/>
    <w:rsid w:val="66B77AE5"/>
    <w:rsid w:val="67043D48"/>
    <w:rsid w:val="67386306"/>
    <w:rsid w:val="67609F4B"/>
    <w:rsid w:val="6785A723"/>
    <w:rsid w:val="679743EC"/>
    <w:rsid w:val="67C70E07"/>
    <w:rsid w:val="67E74835"/>
    <w:rsid w:val="6818625F"/>
    <w:rsid w:val="68991D3D"/>
    <w:rsid w:val="68E5129F"/>
    <w:rsid w:val="68E862D0"/>
    <w:rsid w:val="68E9A318"/>
    <w:rsid w:val="68F20331"/>
    <w:rsid w:val="68F253C3"/>
    <w:rsid w:val="69110ABD"/>
    <w:rsid w:val="694D1628"/>
    <w:rsid w:val="69C618CE"/>
    <w:rsid w:val="6A8C28DE"/>
    <w:rsid w:val="6AAC95B8"/>
    <w:rsid w:val="6B0B4184"/>
    <w:rsid w:val="6B1C02AD"/>
    <w:rsid w:val="6B4D8DF1"/>
    <w:rsid w:val="6B675EF4"/>
    <w:rsid w:val="6B8B2F98"/>
    <w:rsid w:val="6BEEA0AE"/>
    <w:rsid w:val="6C0E2676"/>
    <w:rsid w:val="6D314FE9"/>
    <w:rsid w:val="6D65067C"/>
    <w:rsid w:val="6D6533FC"/>
    <w:rsid w:val="6DCC07DE"/>
    <w:rsid w:val="6DD5FECE"/>
    <w:rsid w:val="6E37449E"/>
    <w:rsid w:val="6F686D13"/>
    <w:rsid w:val="6FD7CC9A"/>
    <w:rsid w:val="70407D7B"/>
    <w:rsid w:val="704253E0"/>
    <w:rsid w:val="70551A05"/>
    <w:rsid w:val="708BD70B"/>
    <w:rsid w:val="70DF94C3"/>
    <w:rsid w:val="710C6436"/>
    <w:rsid w:val="726D62A7"/>
    <w:rsid w:val="72B16A06"/>
    <w:rsid w:val="73625F09"/>
    <w:rsid w:val="73984259"/>
    <w:rsid w:val="739C758A"/>
    <w:rsid w:val="73DF8409"/>
    <w:rsid w:val="74371719"/>
    <w:rsid w:val="74502B09"/>
    <w:rsid w:val="74A9BC96"/>
    <w:rsid w:val="74C55550"/>
    <w:rsid w:val="752B0A00"/>
    <w:rsid w:val="7534E3FC"/>
    <w:rsid w:val="7575932B"/>
    <w:rsid w:val="76BF78B1"/>
    <w:rsid w:val="76F78930"/>
    <w:rsid w:val="7852837C"/>
    <w:rsid w:val="793ABCAC"/>
    <w:rsid w:val="7A5F16A9"/>
    <w:rsid w:val="7A6359CB"/>
    <w:rsid w:val="7A847952"/>
    <w:rsid w:val="7AD7F8A2"/>
    <w:rsid w:val="7AF25588"/>
    <w:rsid w:val="7B2E48D7"/>
    <w:rsid w:val="7B34D6E0"/>
    <w:rsid w:val="7B7D956C"/>
    <w:rsid w:val="7BB040EB"/>
    <w:rsid w:val="7BE7A123"/>
    <w:rsid w:val="7C11B08A"/>
    <w:rsid w:val="7C15D352"/>
    <w:rsid w:val="7C2E7666"/>
    <w:rsid w:val="7D44F9E1"/>
    <w:rsid w:val="7D8AA698"/>
    <w:rsid w:val="7DC0F355"/>
    <w:rsid w:val="7DC386FE"/>
    <w:rsid w:val="7DE467E3"/>
    <w:rsid w:val="7E204357"/>
    <w:rsid w:val="7E41583F"/>
    <w:rsid w:val="7E59BC35"/>
    <w:rsid w:val="7E6B1CDD"/>
    <w:rsid w:val="7EA2DB27"/>
    <w:rsid w:val="7EA6A2E7"/>
    <w:rsid w:val="7ED3F413"/>
    <w:rsid w:val="7F20B4F7"/>
    <w:rsid w:val="7FD00A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229A6"/>
  <w15:docId w15:val="{FF292C2A-EE0F-46A4-AC37-B21DDEC1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76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4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2"/>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4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2"/>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6"/>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26"/>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26"/>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eastAsiaTheme="minorHAnsi" w:cstheme="minorBidi"/>
      <w:sz w:val="22"/>
      <w:szCs w:val="22"/>
      <w:lang w:eastAsia="en-US"/>
    </w:rPr>
  </w:style>
  <w:style w:type="paragraph" w:styleId="Revision">
    <w:name w:val="Revision"/>
    <w:hidden/>
    <w:uiPriority w:val="99"/>
    <w:semiHidden/>
    <w:rPr>
      <w:rFonts w:eastAsiaTheme="minorHAnsi" w:cstheme="minorBidi"/>
      <w:sz w:val="22"/>
      <w:szCs w:val="22"/>
      <w:lang w:eastAsia="en-US"/>
    </w:rPr>
  </w:style>
  <w:style w:type="character" w:styleId="UnresolvedMention">
    <w:name w:val="Unresolved Mention"/>
    <w:basedOn w:val="DefaultParagraphFont"/>
    <w:uiPriority w:val="99"/>
    <w:semiHidden/>
    <w:unhideWhenUsed/>
    <w:rsid w:val="007B6756"/>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glae.gov.au/" TargetMode="External"/><Relationship Id="rId18" Type="http://schemas.openxmlformats.org/officeDocument/2006/relationships/footer" Target="footer1.xml"/><Relationship Id="rId26" Type="http://schemas.openxmlformats.org/officeDocument/2006/relationships/hyperlink" Target="https://www.agriculture.gov.au/biosecurity-trade/export/controlled-goods/live-animals/livestock/compliance-investigations/investigations-escas" TargetMode="External"/><Relationship Id="rId39" Type="http://schemas.openxmlformats.org/officeDocument/2006/relationships/hyperlink" Target="https://www.iglae.gov.au/current-reviews" TargetMode="External"/><Relationship Id="rId21" Type="http://schemas.openxmlformats.org/officeDocument/2006/relationships/hyperlink" Target="https://micor.agriculture.gov.au/live-animals/Pages/default.aspx?_gl=1*1cks0pr*_ga*Mzk1NjY0NTcyLjE2MTIzOTM4MzA.*_ga_EFTD1N73JJ*MTY2NzQzNTQyMS40Mi4xLjE2Njc0MzU0OTcuMC4wLjA." TargetMode="External"/><Relationship Id="rId34" Type="http://schemas.openxmlformats.org/officeDocument/2006/relationships/hyperlink" Target="https://www.agriculture.gov.au/about/commitment/privacy" TargetMode="External"/><Relationship Id="rId42" Type="http://schemas.openxmlformats.org/officeDocument/2006/relationships/hyperlink" Target="https://oia.pmc.gov.au/resources/guidance-obpr-procedures/best-practice-consult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glae.gov.au/" TargetMode="External"/><Relationship Id="rId29" Type="http://schemas.openxmlformats.org/officeDocument/2006/relationships/hyperlink" Target="https://www.agriculture.gov.au/about/reporting/freedom-of-information/disclosure-lo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vecorp.com.au/report/4pRzubPMhjsIb5FngiHrfP" TargetMode="External"/><Relationship Id="rId32" Type="http://schemas.openxmlformats.org/officeDocument/2006/relationships/hyperlink" Target="https://parlinfo.aph.gov.au/parlInfo/search/display/display.w3p;query=Id%3A%22committees%2Festimate%2F26526%2F0000%22" TargetMode="External"/><Relationship Id="rId37" Type="http://schemas.openxmlformats.org/officeDocument/2006/relationships/hyperlink" Target="https://www.iglae.gov.au/current-reviews" TargetMode="External"/><Relationship Id="rId40" Type="http://schemas.openxmlformats.org/officeDocument/2006/relationships/hyperlink" Target="https://www.iglae.gov.au/current-reviews"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iglae.gov.au/" TargetMode="External"/><Relationship Id="rId23" Type="http://schemas.openxmlformats.org/officeDocument/2006/relationships/hyperlink" Target="https://livecorp.com.au/" TargetMode="External"/><Relationship Id="rId28" Type="http://schemas.openxmlformats.org/officeDocument/2006/relationships/hyperlink" Target="https://www.agriculture.gov.au/biosecurity-trade/export/controlled-goods/live-animals/live-animal-export-statistics/reports-to-parliament" TargetMode="External"/><Relationship Id="rId36" Type="http://schemas.openxmlformats.org/officeDocument/2006/relationships/hyperlink" Target="https://www.iglae.gov.au/current-review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apsc.gov.au/publication/aps-values-and-code-conduct-practi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lae@aff.gov.au" TargetMode="External"/><Relationship Id="rId22" Type="http://schemas.openxmlformats.org/officeDocument/2006/relationships/hyperlink" Target="https://haveyoursay.agriculture.gov.au/" TargetMode="External"/><Relationship Id="rId27" Type="http://schemas.openxmlformats.org/officeDocument/2006/relationships/hyperlink" Target="https://www.agriculture.gov.au/biosecurity-trade/export/controlled-goods/live-animals/livestock/compliance-investigations/investigations-mortalities" TargetMode="External"/><Relationship Id="rId30" Type="http://schemas.openxmlformats.org/officeDocument/2006/relationships/image" Target="media/image5.jpeg"/><Relationship Id="rId35" Type="http://schemas.openxmlformats.org/officeDocument/2006/relationships/hyperlink" Target="https://www.agriculture.gov.au/biosecurity-trade/export/controlled-goods/live-animal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www.agriculture.gov.au/biosecurity-trade/export/controlled-goods/live-animals/live-animal-export-statistics/livestock-exports-by-market" TargetMode="External"/><Relationship Id="rId33" Type="http://schemas.openxmlformats.org/officeDocument/2006/relationships/hyperlink" Target="https://www.agriculture.gov.au/biosecurity-trade/export/controlled-goods/live-animals/livestock/compliance-investigations/investigations-escas" TargetMode="External"/><Relationship Id="rId38" Type="http://schemas.openxmlformats.org/officeDocument/2006/relationships/hyperlink" Target="https://www.iglae.gov.au/current-reviews" TargetMode="External"/><Relationship Id="rId20" Type="http://schemas.openxmlformats.org/officeDocument/2006/relationships/image" Target="media/image4.png"/><Relationship Id="rId41" Type="http://schemas.openxmlformats.org/officeDocument/2006/relationships/hyperlink" Target="https://parlinfo.aph.gov.au/parlInfo/search/display/display.w3p;query=Id%3A%22media%2Fpressrel%2F6357789%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0FF15335-C276-4327-9199-308E81160FF1}">
    <t:Anchor>
      <t:Comment id="235744514"/>
    </t:Anchor>
    <t:History>
      <t:Event id="{51CC82B4-B2DA-41E0-B5BC-1810513B9F6E}" time="2023-03-19T22:58:43.225Z">
        <t:Attribution userId="S::joffrid.mackett@aff.gov.au::c36e8613-982f-4fbe-89ec-aa10b7af69f2" userProvider="AD" userName="Mackett, Joffrid"/>
        <t:Anchor>
          <t:Comment id="235744514"/>
        </t:Anchor>
        <t:Create/>
      </t:Event>
      <t:Event id="{3BA545FC-F2A3-4E65-9C91-EB671D7EED01}" time="2023-03-19T22:58:43.225Z">
        <t:Attribution userId="S::joffrid.mackett@aff.gov.au::c36e8613-982f-4fbe-89ec-aa10b7af69f2" userProvider="AD" userName="Mackett, Joffrid"/>
        <t:Anchor>
          <t:Comment id="235744514"/>
        </t:Anchor>
        <t:Assign userId="S::Patrick.Cass@aff.gov.au::5b6e9532-3caf-425b-b229-4a9402afcce2" userProvider="AD" userName="Cass, Patrick"/>
      </t:Event>
      <t:Event id="{AD7C89A8-7267-4162-A2E8-6D0108D95DC2}" time="2023-03-19T22:58:43.225Z">
        <t:Attribution userId="S::joffrid.mackett@aff.gov.au::c36e8613-982f-4fbe-89ec-aa10b7af69f2" userProvider="AD" userName="Mackett, Joffrid"/>
        <t:Anchor>
          <t:Comment id="235744514"/>
        </t:Anchor>
        <t:SetTitle title="@Cass, Patrick can you check the IO, escas and mortality report ones?"/>
      </t:Event>
    </t:History>
  </t:Task>
  <t:Task id="{EA31DD8F-6213-4CC2-84FC-BAFD7A34E8DE}">
    <t:Anchor>
      <t:Comment id="405376079"/>
    </t:Anchor>
    <t:History>
      <t:Event id="{8C2CCEC1-6440-4FE1-B828-8C6EF105628F}" time="2023-03-19T21:57:30.894Z">
        <t:Attribution userId="S::joffrid.mackett@aff.gov.au::c36e8613-982f-4fbe-89ec-aa10b7af69f2" userProvider="AD" userName="Mackett, Joffrid"/>
        <t:Anchor>
          <t:Comment id="405376079"/>
        </t:Anchor>
        <t:Create/>
      </t:Event>
      <t:Event id="{7387D671-85DB-4F84-9201-947E2F8F60F6}" time="2023-03-19T21:57:30.894Z">
        <t:Attribution userId="S::joffrid.mackett@aff.gov.au::c36e8613-982f-4fbe-89ec-aa10b7af69f2" userProvider="AD" userName="Mackett, Joffrid"/>
        <t:Anchor>
          <t:Comment id="405376079"/>
        </t:Anchor>
        <t:Assign userId="S::Patrick.Cass@aff.gov.au::5b6e9532-3caf-425b-b229-4a9402afcce2" userProvider="AD" userName="Cass, Patrick"/>
      </t:Event>
      <t:Event id="{3BC5398D-196A-4995-8B02-008EAD11E6B0}" time="2023-03-19T21:57:30.894Z">
        <t:Attribution userId="S::joffrid.mackett@aff.gov.au::c36e8613-982f-4fbe-89ec-aa10b7af69f2" userProvider="AD" userName="Mackett, Joffrid"/>
        <t:Anchor>
          <t:Comment id="405376079"/>
        </t:Anchor>
        <t:SetTitle title="@Cass, Patrick Is this correct? My reading is 1 Oct 2020 - 31 Dec 2020 was published in Feb 2021. And the 1 Jan - 31 March 2021 and the 1 April - 30 June 2021 were also published at same time as the 1 July 2021 - 30 June 2022. And the 1 July 2022 - 30 …"/>
      </t:Event>
    </t:History>
  </t:Task>
  <t:Task id="{BEA14444-7506-4573-A60E-FA3FEF902878}">
    <t:Anchor>
      <t:Comment id="1147564668"/>
    </t:Anchor>
    <t:History>
      <t:Event id="{DAD86AAD-A215-4EE3-AC70-32A95E03ABD3}" time="2023-03-19T22:36:19.464Z">
        <t:Attribution userId="S::joffrid.mackett@aff.gov.au::c36e8613-982f-4fbe-89ec-aa10b7af69f2" userProvider="AD" userName="Mackett, Joffrid"/>
        <t:Anchor>
          <t:Comment id="1147564668"/>
        </t:Anchor>
        <t:Create/>
      </t:Event>
      <t:Event id="{E37F3AE3-E403-4384-B198-2E7C9DEFB4DD}" time="2023-03-19T22:36:19.464Z">
        <t:Attribution userId="S::joffrid.mackett@aff.gov.au::c36e8613-982f-4fbe-89ec-aa10b7af69f2" userProvider="AD" userName="Mackett, Joffrid"/>
        <t:Anchor>
          <t:Comment id="1147564668"/>
        </t:Anchor>
        <t:Assign userId="S::Patrick.Cass@aff.gov.au::5b6e9532-3caf-425b-b229-4a9402afcce2" userProvider="AD" userName="Cass, Patrick"/>
      </t:Event>
      <t:Event id="{2769BFAB-ECD0-4866-9521-5A6827AF5390}" time="2023-03-19T22:36:19.464Z">
        <t:Attribution userId="S::joffrid.mackett@aff.gov.au::c36e8613-982f-4fbe-89ec-aa10b7af69f2" userProvider="AD" userName="Mackett, Joffrid"/>
        <t:Anchor>
          <t:Comment id="1147564668"/>
        </t:Anchor>
        <t:SetTitle title="@Cass, Patrick can you check this against the legal advice we got re publishing exporter names?"/>
      </t:Event>
    </t:History>
  </t:Task>
  <t:Task id="{42CC8646-F86F-475C-971D-29A15BD20DBE}">
    <t:Anchor>
      <t:Comment id="650301106"/>
    </t:Anchor>
    <t:History>
      <t:Event id="{F2F3C29F-9DBE-464E-8F77-89966050BF1E}" time="2023-03-19T22:58:09.897Z">
        <t:Attribution userId="S::joffrid.mackett@aff.gov.au::c36e8613-982f-4fbe-89ec-aa10b7af69f2" userProvider="AD" userName="Mackett, Joffrid"/>
        <t:Anchor>
          <t:Comment id="650301106"/>
        </t:Anchor>
        <t:Create/>
      </t:Event>
      <t:Event id="{E9442AA9-567F-4ADC-AA64-6CE176C61858}" time="2023-03-19T22:58:09.897Z">
        <t:Attribution userId="S::joffrid.mackett@aff.gov.au::c36e8613-982f-4fbe-89ec-aa10b7af69f2" userProvider="AD" userName="Mackett, Joffrid"/>
        <t:Anchor>
          <t:Comment id="650301106"/>
        </t:Anchor>
        <t:Assign userId="S::Oriana.Mamone@aff.gov.au::7626ad15-a35f-4140-9c30-5d116698699e" userProvider="AD" userName="Mamone, Oriana"/>
      </t:Event>
      <t:Event id="{E0490BD9-D2DB-422A-8E1B-56739F0E9A40}" time="2023-03-19T22:58:09.897Z">
        <t:Attribution userId="S::joffrid.mackett@aff.gov.au::c36e8613-982f-4fbe-89ec-aa10b7af69f2" userProvider="AD" userName="Mackett, Joffrid"/>
        <t:Anchor>
          <t:Comment id="650301106"/>
        </t:Anchor>
        <t:SetTitle title="@Mamone, Oriana is this correct? I would suggest re publish the full repo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C7971-0DBB-428C-BEEE-1A605B25EFC1}">
  <ds:schemaRefs>
    <ds:schemaRef ds:uri="http://schemas.microsoft.com/sharepoint/v3/contenttype/forms"/>
  </ds:schemaRefs>
</ds:datastoreItem>
</file>

<file path=customXml/itemProps2.xml><?xml version="1.0" encoding="utf-8"?>
<ds:datastoreItem xmlns:ds="http://schemas.openxmlformats.org/officeDocument/2006/customXml" ds:itemID="{A4A83362-92A5-439E-AC78-2D3E84C62D99}">
  <ds:schemaRefs>
    <ds:schemaRef ds:uri="http://purl.org/dc/terms/"/>
    <ds:schemaRef ds:uri="c95b51c2-b2ac-4224-a5b5-069909057829"/>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387EF7A1-9FCF-42FB-ACA6-F81291A9EFA0}">
  <ds:schemaRefs>
    <ds:schemaRef ds:uri="http://schemas.openxmlformats.org/officeDocument/2006/bibliography"/>
  </ds:schemaRefs>
</ds:datastoreItem>
</file>

<file path=customXml/itemProps4.xml><?xml version="1.0" encoding="utf-8"?>
<ds:datastoreItem xmlns:ds="http://schemas.openxmlformats.org/officeDocument/2006/customXml" ds:itemID="{9BB36144-AF3A-40AC-8832-083A03DE0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38</Pages>
  <Words>13519</Words>
  <Characters>77061</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Communication and engagement in livestock export regulation</vt:lpstr>
    </vt:vector>
  </TitlesOfParts>
  <Manager/>
  <Company/>
  <LinksUpToDate>false</LinksUpToDate>
  <CharactersWithSpaces>90400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and engagement in livestock export regulation</dc:title>
  <dc:subject/>
  <dc:creator>Inspector-General of Live Animal Exports</dc:creator>
  <cp:keywords/>
  <dc:description/>
  <cp:revision>207</cp:revision>
  <cp:lastPrinted>2023-04-06T01:54:00Z</cp:lastPrinted>
  <dcterms:created xsi:type="dcterms:W3CDTF">2023-03-24T06:41:00Z</dcterms:created>
  <dcterms:modified xsi:type="dcterms:W3CDTF">2023-04-06T03:50:00Z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